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22" w:firstLineChars="100"/>
        <w:jc w:val="center"/>
        <w:rPr>
          <w:b/>
          <w:sz w:val="52"/>
          <w:szCs w:val="52"/>
        </w:rPr>
      </w:pPr>
    </w:p>
    <w:p>
      <w:pPr>
        <w:ind w:firstLine="522" w:firstLineChars="100"/>
        <w:jc w:val="center"/>
        <w:rPr>
          <w:b/>
          <w:sz w:val="52"/>
          <w:szCs w:val="52"/>
        </w:rPr>
      </w:pPr>
    </w:p>
    <w:p>
      <w:pPr>
        <w:ind w:firstLine="522" w:firstLineChars="100"/>
        <w:jc w:val="center"/>
        <w:rPr>
          <w:b/>
          <w:sz w:val="52"/>
          <w:szCs w:val="52"/>
        </w:rPr>
      </w:pPr>
    </w:p>
    <w:p>
      <w:pPr>
        <w:ind w:firstLine="522" w:firstLineChars="10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电子票夹</w:t>
      </w:r>
    </w:p>
    <w:p>
      <w:pPr>
        <w:ind w:firstLine="522" w:firstLineChars="10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V1.2.8.7</w:t>
      </w:r>
    </w:p>
    <w:p>
      <w:pPr>
        <w:ind w:firstLine="522" w:firstLineChars="100"/>
        <w:jc w:val="center"/>
        <w:rPr>
          <w:b/>
          <w:sz w:val="52"/>
          <w:szCs w:val="52"/>
        </w:rPr>
      </w:pPr>
    </w:p>
    <w:p>
      <w:pPr>
        <w:ind w:firstLine="522" w:firstLineChars="100"/>
        <w:jc w:val="center"/>
        <w:rPr>
          <w:b/>
          <w:sz w:val="52"/>
          <w:szCs w:val="52"/>
        </w:rPr>
      </w:pPr>
    </w:p>
    <w:p>
      <w:pPr>
        <w:ind w:firstLine="522" w:firstLineChars="10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用</w:t>
      </w:r>
    </w:p>
    <w:p>
      <w:pPr>
        <w:ind w:firstLine="522" w:firstLineChars="10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户</w:t>
      </w:r>
    </w:p>
    <w:p>
      <w:pPr>
        <w:ind w:firstLine="522" w:firstLineChars="10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手</w:t>
      </w:r>
    </w:p>
    <w:p>
      <w:pPr>
        <w:ind w:firstLine="522" w:firstLineChars="10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册</w:t>
      </w:r>
    </w:p>
    <w:p/>
    <w:p/>
    <w:p/>
    <w:p/>
    <w:p/>
    <w:p/>
    <w:p/>
    <w:p/>
    <w:p/>
    <w:p/>
    <w:p/>
    <w:p/>
    <w:sdt>
      <w:sdtPr>
        <w:rPr>
          <w:rFonts w:hint="eastAsia" w:ascii="黑体" w:hAnsi="黑体" w:eastAsia="黑体" w:cs="黑体"/>
          <w:b/>
          <w:bCs/>
          <w:kern w:val="0"/>
          <w:sz w:val="32"/>
          <w:szCs w:val="32"/>
        </w:rPr>
        <w:id w:val="147454864"/>
      </w:sdtPr>
      <w:sdtEndPr>
        <w:rPr>
          <w:rFonts w:ascii="宋体" w:hAnsi="宋体" w:cs="Times New Roman"/>
          <w:kern w:val="0"/>
          <w:sz w:val="20"/>
          <w:szCs w:val="20"/>
        </w:rPr>
      </w:sdtEndPr>
      <w:sdtContent>
        <w:sdt>
          <w:sdtPr>
            <w:rPr>
              <w:rFonts w:hint="eastAsia" w:ascii="黑体" w:hAnsi="黑体" w:eastAsia="黑体" w:cs="黑体"/>
              <w:b/>
              <w:bCs/>
              <w:kern w:val="2"/>
              <w:sz w:val="32"/>
              <w:szCs w:val="32"/>
              <w:lang w:val="en-US" w:eastAsia="zh-CN" w:bidi="ar-SA"/>
            </w:rPr>
            <w:id w:val="147482178"/>
            <w15:color w:val="DBDBDB"/>
            <w:docPartObj>
              <w:docPartGallery w:val="Table of Contents"/>
              <w:docPartUnique/>
            </w:docPartObj>
          </w:sdtPr>
          <w:sdtContent>
            <w:p>
              <w:pPr>
                <w:jc w:val="center"/>
                <w:rPr>
                  <w:rFonts w:hint="eastAsia" w:ascii="黑体" w:hAnsi="黑体" w:eastAsia="黑体" w:cs="黑体"/>
                  <w:b/>
                  <w:bCs/>
                  <w:sz w:val="32"/>
                  <w:szCs w:val="32"/>
                </w:rPr>
              </w:pPr>
              <w:bookmarkStart w:id="105" w:name="_GoBack"/>
              <w:bookmarkEnd w:id="105"/>
              <w:r>
                <w:rPr>
                  <w:rFonts w:hint="eastAsia" w:ascii="黑体" w:hAnsi="黑体" w:eastAsia="黑体" w:cs="黑体"/>
                  <w:b/>
                  <w:bCs/>
                  <w:sz w:val="32"/>
                  <w:szCs w:val="32"/>
                </w:rPr>
                <w:t>目录</w:t>
              </w:r>
            </w:p>
            <w:p>
              <w:pPr>
                <w:pStyle w:val="11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fldChar w:fldCharType="begin"/>
              </w:r>
              <w:r>
                <w:instrText xml:space="preserve">TOC \o "1-3" \h \u </w:instrText>
              </w:r>
              <w: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_Toc6878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1概述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_Toc6878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1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_Toc9380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2小程序入口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_Toc9380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2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13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_Toc29406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2.1微信小程序二维码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_Toc29406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2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13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_Toc10687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2.2支付宝小程序二维码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_Toc10687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2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_Toc13280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3小程序通用功能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_Toc13280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13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_Toc3805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3.1注册登录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_Toc3805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_Toc16568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3.1.1登录主页面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_Toc16568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_Toc5600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3.1.2微信用户快速登录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_Toc5600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_Toc31922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3.1.3支付宝用户快速登录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_Toc31922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4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_Toc25097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3.1.4手机号注册登录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_Toc25097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5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13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_Toc16011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3.2首页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_Toc16011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6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_Toc13729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3.2.1首页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_Toc13729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6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_Toc21500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3.2.2扫码查票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_Toc21500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6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_Toc12740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3.2.3手工查票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_Toc12740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7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_Toc25300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3.2.7实名认证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_Toc25300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8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13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_Toc20896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3.3票夹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_Toc20896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10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_Toc7095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3.3.1票据详情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_Toc7095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10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_Toc25775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3.3.2发送给他人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_Toc25775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11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_Toc5115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3.3.3查看电子票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_Toc5115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12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_Toc10160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3.3.4显示二维码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_Toc10160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14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13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_Toc1845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3.4我的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_Toc1845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15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_Toc23144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3.4.1票据抬头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_Toc23144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16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_Toc1658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3.4.2实名认证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_Toc1658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20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_Toc24692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3.4.3发送记录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_Toc24692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21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_Toc2658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3.4.4开票历史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_Toc2658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22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  <w:rPr>
                  <w:rFonts w:hint="eastAsia" w:ascii="宋体" w:hAnsi="宋体" w:eastAsia="宋体" w:cs="宋体"/>
                </w:rPr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_Toc11705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3.4.5用户协议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_Toc11705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22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306"/>
                </w:tabs>
              </w:pP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HYPERLINK \l _Toc17986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3.4.6退出登录</w:t>
              </w:r>
              <w:r>
                <w:rPr>
                  <w:rFonts w:hint="eastAsia" w:ascii="宋体" w:hAnsi="宋体" w:eastAsia="宋体" w:cs="宋体"/>
                </w:rPr>
                <w:tab/>
              </w:r>
              <w:r>
                <w:rPr>
                  <w:rFonts w:hint="eastAsia" w:ascii="宋体" w:hAnsi="宋体" w:eastAsia="宋体" w:cs="宋体"/>
                </w:rPr>
                <w:fldChar w:fldCharType="begin"/>
              </w:r>
              <w:r>
                <w:rPr>
                  <w:rFonts w:hint="eastAsia" w:ascii="宋体" w:hAnsi="宋体" w:eastAsia="宋体" w:cs="宋体"/>
                </w:rPr>
                <w:instrText xml:space="preserve"> PAGEREF _Toc17986 \h </w:instrText>
              </w:r>
              <w:r>
                <w:rPr>
                  <w:rFonts w:hint="eastAsia" w:ascii="宋体" w:hAnsi="宋体" w:eastAsia="宋体" w:cs="宋体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</w:rPr>
                <w:t>23</w:t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  <w:r>
                <w:rPr>
                  <w:rFonts w:hint="eastAsia" w:ascii="宋体" w:hAnsi="宋体" w:eastAsia="宋体" w:cs="宋体"/>
                </w:rPr>
                <w:fldChar w:fldCharType="end"/>
              </w:r>
            </w:p>
            <w:p>
              <w:r>
                <w:fldChar w:fldCharType="end"/>
              </w:r>
            </w:p>
          </w:sdtContent>
        </w:sdt>
        <w:p>
          <w:pPr>
            <w:sectPr>
              <w:headerReference r:id="rId5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2"/>
      </w:pPr>
      <w:bookmarkStart w:id="0" w:name="_Toc4690_WPSOffice_Level1"/>
      <w:bookmarkStart w:id="1" w:name="_Toc13878_WPSOffice_Level1"/>
      <w:bookmarkStart w:id="2" w:name="_Toc3946"/>
      <w:bookmarkStart w:id="3" w:name="_Toc6878"/>
      <w:r>
        <w:rPr>
          <w:rFonts w:hint="eastAsia"/>
        </w:rPr>
        <w:t>1概述</w:t>
      </w:r>
      <w:bookmarkEnd w:id="0"/>
      <w:bookmarkEnd w:id="1"/>
      <w:bookmarkEnd w:id="2"/>
      <w:bookmarkEnd w:id="3"/>
    </w:p>
    <w:p>
      <w:pPr>
        <w:ind w:firstLine="420"/>
      </w:pPr>
      <w:r>
        <w:rPr>
          <w:rFonts w:hint="eastAsia"/>
        </w:rPr>
        <w:t>电子票夹是面向交款人的小程序，使用的平台为微信公众平台和支付宝公众平台，用户可以搜索“电子票夹”或扫码关注使用电子票夹小程序。</w:t>
      </w:r>
    </w:p>
    <w:p>
      <w:pPr>
        <w:ind w:firstLine="420"/>
      </w:pPr>
      <w:r>
        <w:rPr>
          <w:rFonts w:hint="eastAsia"/>
        </w:rPr>
        <w:t>电子票夹实现了个人电子票据自动保存至电子票夹小程序中，以便随时查看、下载，这样既便于管理又避免了票据的丢失。不仅如此，为了适应不同企业和单位所开的电子票据能够及时到达用户手中，电子票夹还提供了多种取票方式。不论是自动保存至票夹还是为用户提供的多种取票方式，均是为了确保票据能够准确、及时、无误地到达用户的电子票夹中。</w:t>
      </w:r>
    </w:p>
    <w:p>
      <w:pPr>
        <w:ind w:firstLine="420"/>
      </w:pPr>
      <w:r>
        <w:rPr>
          <w:rFonts w:hint="eastAsia"/>
        </w:rPr>
        <w:t>电子票夹小程序给用户带来了高效便捷的电子票据管理服务，针对不同企业单位还推出了单位的专属服务，欢迎大家使用。</w:t>
      </w:r>
    </w:p>
    <w:p>
      <w:pPr>
        <w:ind w:firstLine="420"/>
      </w:pPr>
      <w:r>
        <w:rPr>
          <w:rFonts w:hint="eastAsia"/>
        </w:rPr>
        <w:br w:type="page"/>
      </w:r>
    </w:p>
    <w:p>
      <w:pPr>
        <w:pStyle w:val="2"/>
      </w:pPr>
      <w:bookmarkStart w:id="4" w:name="_Toc11149"/>
      <w:bookmarkStart w:id="5" w:name="_Toc15294_WPSOffice_Level1"/>
      <w:bookmarkStart w:id="6" w:name="_Toc9669_WPSOffice_Level1"/>
      <w:bookmarkStart w:id="7" w:name="_Toc9380"/>
      <w:r>
        <w:rPr>
          <w:rFonts w:hint="eastAsia"/>
        </w:rPr>
        <w:t>2小程序入口</w:t>
      </w:r>
      <w:bookmarkEnd w:id="4"/>
      <w:bookmarkEnd w:id="5"/>
      <w:bookmarkEnd w:id="6"/>
      <w:bookmarkEnd w:id="7"/>
    </w:p>
    <w:p>
      <w:pPr>
        <w:pStyle w:val="3"/>
      </w:pPr>
      <w:bookmarkStart w:id="8" w:name="_Toc32311_WPSOffice_Level1"/>
      <w:bookmarkStart w:id="9" w:name="_Toc8831_WPSOffice_Level1"/>
      <w:bookmarkStart w:id="10" w:name="_Toc10668"/>
      <w:bookmarkStart w:id="11" w:name="_Toc29406"/>
      <w:r>
        <w:rPr>
          <w:rFonts w:hint="eastAsia"/>
        </w:rPr>
        <w:t>2.1</w:t>
      </w:r>
      <w:bookmarkStart w:id="12" w:name="_Toc404023444"/>
      <w:r>
        <w:rPr>
          <w:rFonts w:hint="eastAsia"/>
        </w:rPr>
        <w:t>微信小程序二维码</w:t>
      </w:r>
      <w:bookmarkEnd w:id="8"/>
      <w:bookmarkEnd w:id="9"/>
      <w:bookmarkEnd w:id="10"/>
      <w:bookmarkEnd w:id="11"/>
      <w:bookmarkEnd w:id="12"/>
    </w:p>
    <w:p>
      <w:r>
        <w:drawing>
          <wp:inline distT="0" distB="0" distL="114300" distR="114300">
            <wp:extent cx="2735580" cy="2735580"/>
            <wp:effectExtent l="0" t="0" r="7620" b="7620"/>
            <wp:docPr id="2" name="图片 2" descr="微信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小程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28434_WPSOffice_Level1"/>
      <w:bookmarkStart w:id="14" w:name="_Toc22608_WPSOffice_Level1"/>
      <w:bookmarkStart w:id="15" w:name="_Toc30501"/>
      <w:bookmarkStart w:id="16" w:name="_Toc10687"/>
      <w:r>
        <w:rPr>
          <w:rFonts w:hint="eastAsia"/>
        </w:rPr>
        <w:t>2.2</w:t>
      </w:r>
      <w:bookmarkStart w:id="17" w:name="_Toc78731494"/>
      <w:r>
        <w:rPr>
          <w:rFonts w:hint="eastAsia"/>
        </w:rPr>
        <w:t>支付宝小程序二维码</w:t>
      </w:r>
      <w:bookmarkEnd w:id="13"/>
      <w:bookmarkEnd w:id="14"/>
      <w:bookmarkEnd w:id="15"/>
      <w:bookmarkEnd w:id="16"/>
      <w:bookmarkEnd w:id="17"/>
    </w:p>
    <w:p>
      <w:r>
        <w:drawing>
          <wp:inline distT="0" distB="0" distL="114300" distR="114300">
            <wp:extent cx="2889885" cy="3576955"/>
            <wp:effectExtent l="0" t="0" r="5715" b="4445"/>
            <wp:docPr id="3" name="图片 3" descr="支付宝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支付宝小程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8" w:name="_Toc27728_WPSOffice_Level1"/>
      <w:bookmarkStart w:id="19" w:name="_Toc25055_WPSOffice_Level1"/>
      <w:bookmarkStart w:id="20" w:name="_Toc14573"/>
      <w:bookmarkStart w:id="21" w:name="_Toc13280"/>
      <w:r>
        <w:rPr>
          <w:rFonts w:hint="eastAsia"/>
        </w:rPr>
        <w:t>3小程序通用功能</w:t>
      </w:r>
      <w:bookmarkEnd w:id="18"/>
      <w:bookmarkEnd w:id="19"/>
      <w:bookmarkEnd w:id="20"/>
      <w:bookmarkEnd w:id="21"/>
    </w:p>
    <w:p>
      <w:pPr>
        <w:pStyle w:val="3"/>
      </w:pPr>
      <w:bookmarkStart w:id="22" w:name="_Toc11980_WPSOffice_Level1"/>
      <w:bookmarkStart w:id="23" w:name="_Toc9133_WPSOffice_Level1"/>
      <w:bookmarkStart w:id="24" w:name="_Toc12270"/>
      <w:bookmarkStart w:id="25" w:name="_Toc3805"/>
      <w:r>
        <w:rPr>
          <w:rFonts w:hint="eastAsia"/>
        </w:rPr>
        <w:t>3.1</w:t>
      </w:r>
      <w:bookmarkStart w:id="26" w:name="_Toc390293106"/>
      <w:r>
        <w:rPr>
          <w:rFonts w:hint="eastAsia"/>
        </w:rPr>
        <w:t>注册登录</w:t>
      </w:r>
      <w:bookmarkEnd w:id="22"/>
      <w:bookmarkEnd w:id="23"/>
      <w:bookmarkEnd w:id="24"/>
      <w:bookmarkEnd w:id="25"/>
      <w:bookmarkEnd w:id="26"/>
    </w:p>
    <w:p>
      <w:pPr>
        <w:pStyle w:val="4"/>
      </w:pPr>
      <w:bookmarkStart w:id="27" w:name="_Toc9669_WPSOffice_Level2"/>
      <w:bookmarkStart w:id="28" w:name="_Toc9485"/>
      <w:bookmarkStart w:id="29" w:name="_Toc16568"/>
      <w:r>
        <w:rPr>
          <w:rFonts w:hint="eastAsia"/>
        </w:rPr>
        <w:t>3.1.1</w:t>
      </w:r>
      <w:bookmarkStart w:id="30" w:name="_Toc18626"/>
      <w:r>
        <w:rPr>
          <w:rFonts w:hint="eastAsia"/>
        </w:rPr>
        <w:t>登录主页面</w:t>
      </w:r>
      <w:bookmarkEnd w:id="27"/>
      <w:bookmarkEnd w:id="28"/>
      <w:bookmarkEnd w:id="29"/>
      <w:bookmarkEnd w:id="30"/>
    </w:p>
    <w:p>
      <w:pPr>
        <w:ind w:firstLine="420"/>
      </w:pPr>
      <w:r>
        <w:rPr>
          <w:rFonts w:hint="eastAsia"/>
        </w:rPr>
        <w:t>用户首次进入电子票夹小程序时会进入登录页，也可点击“我的”进入个人中心页后点击“注册/登录”进入登录页。首次注册时需查看用户注册协议，点击“用户注册协议”查看协议内容，登录即表示同意该协议内容。这里提供了微信小程序的登录主页</w:t>
      </w:r>
      <w:r>
        <w:rPr>
          <w:rFonts w:hint="eastAsia" w:ascii="宋体" w:hAnsi="宋体"/>
        </w:rPr>
        <w:t>面（图3-1</w:t>
      </w:r>
      <w:r>
        <w:rPr>
          <w:rFonts w:ascii="宋体" w:hAnsi="宋体"/>
        </w:rPr>
        <w:t>-1</w:t>
      </w:r>
      <w:r>
        <w:rPr>
          <w:rFonts w:hint="eastAsia" w:ascii="宋体" w:hAnsi="宋体"/>
        </w:rPr>
        <w:t>）。</w:t>
      </w:r>
    </w:p>
    <w:p>
      <w:pPr>
        <w:ind w:firstLine="420"/>
        <w:jc w:val="center"/>
      </w:pPr>
      <w:r>
        <w:drawing>
          <wp:inline distT="0" distB="0" distL="114300" distR="114300">
            <wp:extent cx="2107565" cy="37338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 w:ascii="宋体" w:hAnsi="宋体"/>
        </w:rPr>
        <w:t>图3-1</w:t>
      </w:r>
      <w:r>
        <w:rPr>
          <w:rFonts w:ascii="宋体" w:hAnsi="宋体"/>
        </w:rPr>
        <w:t>-1</w:t>
      </w:r>
    </w:p>
    <w:p>
      <w:pPr>
        <w:pStyle w:val="4"/>
      </w:pPr>
      <w:bookmarkStart w:id="31" w:name="_Toc18875"/>
      <w:bookmarkStart w:id="32" w:name="_Toc8831_WPSOffice_Level2"/>
      <w:bookmarkStart w:id="33" w:name="_Toc5600"/>
      <w:r>
        <w:rPr>
          <w:rFonts w:hint="eastAsia"/>
        </w:rPr>
        <w:t>3.1.2</w:t>
      </w:r>
      <w:bookmarkStart w:id="34" w:name="_Toc32048"/>
      <w:r>
        <w:rPr>
          <w:rFonts w:hint="eastAsia"/>
        </w:rPr>
        <w:t>微信用户快速登录</w:t>
      </w:r>
      <w:bookmarkEnd w:id="31"/>
      <w:bookmarkEnd w:id="32"/>
      <w:bookmarkEnd w:id="33"/>
      <w:bookmarkEnd w:id="34"/>
    </w:p>
    <w:p>
      <w:pPr>
        <w:ind w:firstLine="420"/>
      </w:pPr>
      <w:r>
        <w:rPr>
          <w:rFonts w:hint="eastAsia"/>
        </w:rPr>
        <w:t>点击微信用户快速登录按钮，弹出微信授权提示窗</w:t>
      </w:r>
      <w:r>
        <w:rPr>
          <w:rFonts w:hint="eastAsia" w:ascii="宋体" w:hAnsi="宋体"/>
        </w:rPr>
        <w:t>（图3-2）。点</w:t>
      </w:r>
      <w:r>
        <w:rPr>
          <w:rFonts w:hint="eastAsia"/>
        </w:rPr>
        <w:t>击“允许”按钮，完成微信用户快速登录，跳转主页面。点击“拒绝”按钮，返回原登录页面。</w:t>
      </w:r>
    </w:p>
    <w:p>
      <w:pPr>
        <w:ind w:firstLine="420"/>
        <w:jc w:val="center"/>
      </w:pPr>
      <w:r>
        <w:drawing>
          <wp:inline distT="0" distB="0" distL="0" distR="0">
            <wp:extent cx="1897380" cy="3378835"/>
            <wp:effectExtent l="0" t="0" r="7620" b="24765"/>
            <wp:docPr id="4" name="图片 4" descr="C:\Users\TIANCI~1\AppData\Local\Temp\WeChat Files\89f88a081027728047d0258b5008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TIANCI~1\AppData\Local\Temp\WeChat Files\89f88a081027728047d0258b500808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1-2</w:t>
      </w:r>
    </w:p>
    <w:p>
      <w:pPr>
        <w:pStyle w:val="4"/>
      </w:pPr>
      <w:bookmarkStart w:id="35" w:name="_Toc22608_WPSOffice_Level2"/>
      <w:bookmarkStart w:id="36" w:name="_Toc22593"/>
      <w:bookmarkStart w:id="37" w:name="_Toc31922"/>
      <w:r>
        <w:rPr>
          <w:rFonts w:hint="eastAsia"/>
        </w:rPr>
        <w:t>3.1.3</w:t>
      </w:r>
      <w:bookmarkStart w:id="38" w:name="_Toc1912906117"/>
      <w:r>
        <w:rPr>
          <w:rFonts w:hint="eastAsia"/>
        </w:rPr>
        <w:t>支付宝用户快速登录</w:t>
      </w:r>
      <w:bookmarkEnd w:id="35"/>
      <w:bookmarkEnd w:id="36"/>
      <w:bookmarkEnd w:id="37"/>
      <w:bookmarkEnd w:id="38"/>
    </w:p>
    <w:p>
      <w:pPr>
        <w:ind w:firstLine="420"/>
        <w:rPr>
          <w:rFonts w:eastAsiaTheme="minorEastAsia"/>
        </w:rPr>
      </w:pPr>
      <w:r>
        <w:rPr>
          <w:rFonts w:hint="eastAsia"/>
        </w:rPr>
        <w:t>点击支付宝用户快速登录按钮，代表用户使用支付宝授权登录电子票夹小程序，登录成功后跳转至小程序首页。支付宝小程序登录页见</w:t>
      </w:r>
      <w:r>
        <w:rPr>
          <w:rFonts w:hint="eastAsia" w:ascii="宋体" w:hAnsi="宋体"/>
        </w:rPr>
        <w:t>下图3-</w:t>
      </w:r>
      <w:r>
        <w:rPr>
          <w:rFonts w:ascii="宋体" w:hAnsi="宋体"/>
        </w:rPr>
        <w:t>1-3</w:t>
      </w:r>
      <w:r>
        <w:rPr>
          <w:rFonts w:hint="eastAsia" w:ascii="宋体" w:hAnsi="宋体"/>
        </w:rPr>
        <w:t>。</w:t>
      </w:r>
    </w:p>
    <w:p>
      <w:pPr>
        <w:ind w:firstLine="420"/>
        <w:jc w:val="center"/>
      </w:pPr>
      <w:r>
        <w:drawing>
          <wp:inline distT="0" distB="0" distL="114300" distR="114300">
            <wp:extent cx="1837690" cy="3271520"/>
            <wp:effectExtent l="0" t="0" r="16510" b="5080"/>
            <wp:docPr id="8" name="图片 8" descr="支付宝授权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支付宝授权登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1-</w:t>
      </w:r>
      <w:r>
        <w:rPr>
          <w:rFonts w:hint="eastAsia" w:ascii="宋体" w:hAnsi="宋体"/>
        </w:rPr>
        <w:t>3</w:t>
      </w:r>
    </w:p>
    <w:p>
      <w:pPr>
        <w:pStyle w:val="4"/>
      </w:pPr>
      <w:bookmarkStart w:id="39" w:name="_Toc23788"/>
      <w:bookmarkStart w:id="40" w:name="_Toc27728_WPSOffice_Level2"/>
      <w:bookmarkStart w:id="41" w:name="_Toc25097"/>
      <w:r>
        <w:rPr>
          <w:rFonts w:hint="eastAsia"/>
        </w:rPr>
        <w:t>3.1.4手机号注册登录</w:t>
      </w:r>
      <w:bookmarkEnd w:id="39"/>
      <w:bookmarkEnd w:id="40"/>
      <w:bookmarkEnd w:id="41"/>
    </w:p>
    <w:p>
      <w:pPr>
        <w:ind w:firstLine="420"/>
      </w:pPr>
      <w:r>
        <w:rPr>
          <w:rFonts w:hint="eastAsia"/>
        </w:rPr>
        <w:t>点击登录主页中的手机号注册/登录按钮，弹出“注册/登录”</w:t>
      </w:r>
      <w:r>
        <w:rPr>
          <w:rFonts w:hint="eastAsia" w:ascii="宋体" w:hAnsi="宋体"/>
        </w:rPr>
        <w:t>页（图3-</w:t>
      </w:r>
      <w:r>
        <w:rPr>
          <w:rFonts w:ascii="宋体" w:hAnsi="宋体"/>
        </w:rPr>
        <w:t>1-</w:t>
      </w:r>
      <w:r>
        <w:rPr>
          <w:rFonts w:hint="eastAsia" w:ascii="宋体" w:hAnsi="宋体"/>
        </w:rPr>
        <w:t>4），</w:t>
      </w:r>
      <w:r>
        <w:rPr>
          <w:rFonts w:hint="eastAsia"/>
        </w:rPr>
        <w:t>输入手机号，点击“获取验证码”,用户输入验证码后点击“登录”按钮，完成手机号登录操作。这里也可以点击“用户注册协议”，对用户注册协议进行查看。登录成功后跳转至首页。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958340" cy="3484245"/>
            <wp:effectExtent l="0" t="0" r="22860" b="20955"/>
            <wp:docPr id="7" name="图片 7" descr="手机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机号登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1-</w:t>
      </w:r>
      <w:r>
        <w:rPr>
          <w:rFonts w:hint="eastAsia" w:ascii="宋体" w:hAnsi="宋体"/>
        </w:rPr>
        <w:t>4</w:t>
      </w:r>
      <w:bookmarkStart w:id="42" w:name="_Toc10352_WPSOffice_Level1"/>
      <w:bookmarkStart w:id="43" w:name="_Toc14264_WPSOffice_Level1"/>
      <w:bookmarkStart w:id="44" w:name="_Toc3171"/>
      <w:r>
        <w:rPr>
          <w:rFonts w:hint="eastAsia"/>
        </w:rPr>
        <w:br w:type="page"/>
      </w:r>
    </w:p>
    <w:p>
      <w:pPr>
        <w:pStyle w:val="3"/>
      </w:pPr>
      <w:bookmarkStart w:id="45" w:name="_Toc16011"/>
      <w:r>
        <w:rPr>
          <w:rFonts w:hint="eastAsia"/>
        </w:rPr>
        <w:t>3.2首页</w:t>
      </w:r>
      <w:bookmarkEnd w:id="42"/>
      <w:bookmarkEnd w:id="43"/>
      <w:bookmarkEnd w:id="44"/>
      <w:bookmarkEnd w:id="45"/>
    </w:p>
    <w:p>
      <w:pPr>
        <w:pStyle w:val="4"/>
      </w:pPr>
      <w:bookmarkStart w:id="46" w:name="_Toc6921"/>
      <w:bookmarkStart w:id="47" w:name="_Toc9133_WPSOffice_Level2"/>
      <w:bookmarkStart w:id="48" w:name="_Toc13729"/>
      <w:r>
        <w:rPr>
          <w:rFonts w:hint="eastAsia"/>
        </w:rPr>
        <w:t>3.2.1首页</w:t>
      </w:r>
      <w:bookmarkEnd w:id="46"/>
      <w:bookmarkEnd w:id="47"/>
      <w:bookmarkEnd w:id="48"/>
    </w:p>
    <w:p>
      <w:pPr>
        <w:ind w:firstLine="420"/>
      </w:pPr>
      <w:r>
        <w:rPr>
          <w:rFonts w:hint="eastAsia"/>
        </w:rPr>
        <w:t>首页中包含主要的五个功能模块，扫码查票、手工查票、预交金、发票报销和单位专属服务（显示最近使用的两个单位）。页面详情见下图</w:t>
      </w:r>
      <w:r>
        <w:rPr>
          <w:rFonts w:hint="eastAsia" w:ascii="宋体" w:hAnsi="宋体"/>
        </w:rPr>
        <w:t>3-</w:t>
      </w:r>
      <w:r>
        <w:rPr>
          <w:rFonts w:ascii="宋体" w:hAnsi="宋体"/>
        </w:rPr>
        <w:t>2-1</w:t>
      </w:r>
    </w:p>
    <w:p>
      <w:pPr>
        <w:jc w:val="center"/>
      </w:pPr>
      <w:r>
        <w:drawing>
          <wp:inline distT="0" distB="0" distL="114300" distR="114300">
            <wp:extent cx="2269490" cy="4342130"/>
            <wp:effectExtent l="0" t="0" r="16510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2-1</w:t>
      </w:r>
    </w:p>
    <w:p>
      <w:pPr>
        <w:pStyle w:val="4"/>
      </w:pPr>
      <w:bookmarkStart w:id="49" w:name="_Toc22436"/>
      <w:bookmarkStart w:id="50" w:name="_Toc10352_WPSOffice_Level2"/>
      <w:bookmarkStart w:id="51" w:name="_Toc21500"/>
      <w:r>
        <w:rPr>
          <w:rFonts w:hint="eastAsia"/>
        </w:rPr>
        <w:t>3.2.</w:t>
      </w:r>
      <w:bookmarkStart w:id="52" w:name="_Toc6336"/>
      <w:r>
        <w:rPr>
          <w:rFonts w:hint="eastAsia"/>
        </w:rPr>
        <w:t>2扫码查票</w:t>
      </w:r>
      <w:bookmarkEnd w:id="49"/>
      <w:bookmarkEnd w:id="50"/>
      <w:bookmarkEnd w:id="51"/>
      <w:bookmarkEnd w:id="52"/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进入首页，点击“扫码查票”，进入二维码扫码界面（图3-</w:t>
      </w:r>
      <w:r>
        <w:rPr>
          <w:rFonts w:ascii="宋体" w:hAnsi="宋体"/>
        </w:rPr>
        <w:t>2-2-1</w:t>
      </w:r>
      <w:r>
        <w:rPr>
          <w:rFonts w:hint="eastAsia" w:ascii="宋体" w:hAnsi="宋体"/>
        </w:rPr>
        <w:t>）。通过扫描票据二维码进行查票。对当前的票据进行查验并展示，扫描后的效果如图（图3-</w:t>
      </w:r>
      <w:r>
        <w:rPr>
          <w:rFonts w:ascii="宋体" w:hAnsi="宋体"/>
        </w:rPr>
        <w:t>2-2-2</w:t>
      </w:r>
      <w:r>
        <w:rPr>
          <w:rFonts w:hint="eastAsia" w:ascii="宋体" w:hAnsi="宋体"/>
        </w:rPr>
        <w:t>）。</w:t>
      </w:r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当查询得到的票据未被保存至票夹时，票据详情页显示“保存至票夹”按钮，点击后可保存至票夹。当查询得到的票据在票夹已存在或存在于他人票夹时，票据详情页不显示“保存至票夹”按钮。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304415" cy="4113530"/>
            <wp:effectExtent l="0" t="0" r="6985" b="1270"/>
            <wp:docPr id="11" name="图片 11" descr="扫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299970" cy="4100195"/>
            <wp:effectExtent l="0" t="0" r="11430" b="14605"/>
            <wp:docPr id="14" name="图片 14" descr="查验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查验结果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2-2-1</w:t>
      </w:r>
      <w:r>
        <w:rPr>
          <w:rFonts w:hint="eastAsia" w:ascii="宋体" w:hAnsi="宋体"/>
        </w:rPr>
        <w:t xml:space="preserve">      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hint="eastAsia" w:ascii="宋体" w:hAnsi="宋体"/>
        </w:rPr>
        <w:t xml:space="preserve"> 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  图3-</w:t>
      </w:r>
      <w:r>
        <w:rPr>
          <w:rFonts w:ascii="宋体" w:hAnsi="宋体"/>
        </w:rPr>
        <w:t>2-2-2</w:t>
      </w:r>
    </w:p>
    <w:p>
      <w:pPr>
        <w:pStyle w:val="4"/>
      </w:pPr>
      <w:bookmarkStart w:id="53" w:name="_Toc19142_WPSOffice_Level2"/>
      <w:bookmarkStart w:id="54" w:name="_Toc26911"/>
      <w:bookmarkStart w:id="55" w:name="_Toc12740"/>
      <w:r>
        <w:rPr>
          <w:rFonts w:hint="eastAsia"/>
        </w:rPr>
        <w:t>3.2.3手工查票</w:t>
      </w:r>
      <w:bookmarkEnd w:id="53"/>
      <w:bookmarkEnd w:id="54"/>
      <w:bookmarkEnd w:id="55"/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进入首页，点击“手工查票”，进入手工查票界面，包含财政电子票据（图3-</w:t>
      </w:r>
      <w:r>
        <w:rPr>
          <w:rFonts w:ascii="宋体" w:hAnsi="宋体"/>
        </w:rPr>
        <w:t>2-3-1</w:t>
      </w:r>
      <w:r>
        <w:rPr>
          <w:rFonts w:hint="eastAsia" w:ascii="宋体" w:hAnsi="宋体"/>
        </w:rPr>
        <w:t>）和税务电子发票（图3-</w:t>
      </w:r>
      <w:r>
        <w:rPr>
          <w:rFonts w:ascii="宋体" w:hAnsi="宋体"/>
        </w:rPr>
        <w:t>2-3-2</w:t>
      </w:r>
      <w:r>
        <w:rPr>
          <w:rFonts w:hint="eastAsia" w:ascii="宋体" w:hAnsi="宋体"/>
        </w:rPr>
        <w:t>）。用户须按照输入框中的提示输入票据信息进行查票。</w:t>
      </w:r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当查询得到的票据未被保存至票夹时，票据详情页显示“保存至票夹”按钮，点击后可保存至票夹。当查询得到的票据在票夹已存在或存在于他人票夹时，票据详情页不显示“保存至票夹”按钮。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291080" cy="3979545"/>
            <wp:effectExtent l="0" t="0" r="20320" b="8255"/>
            <wp:docPr id="12" name="图片 12" descr="手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工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221230" cy="3955415"/>
            <wp:effectExtent l="0" t="0" r="13970" b="6985"/>
            <wp:docPr id="13" name="图片 13" descr="税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税票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2-3-1</w:t>
      </w:r>
      <w:r>
        <w:rPr>
          <w:rFonts w:hint="eastAsia" w:ascii="宋体" w:hAnsi="宋体"/>
        </w:rPr>
        <w:t xml:space="preserve">     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图3-</w:t>
      </w:r>
      <w:r>
        <w:rPr>
          <w:rFonts w:ascii="宋体" w:hAnsi="宋体"/>
        </w:rPr>
        <w:t>2-3-2</w:t>
      </w:r>
    </w:p>
    <w:p>
      <w:pPr>
        <w:pStyle w:val="4"/>
      </w:pPr>
      <w:bookmarkStart w:id="56" w:name="_Toc22945"/>
      <w:bookmarkStart w:id="57" w:name="_Toc13940_WPSOffice_Level2"/>
      <w:bookmarkStart w:id="58" w:name="_Toc25300"/>
      <w:r>
        <w:rPr>
          <w:rFonts w:hint="eastAsia"/>
        </w:rPr>
        <w:t>3.2.7</w:t>
      </w:r>
      <w:bookmarkStart w:id="59" w:name="_Toc1260"/>
      <w:r>
        <w:rPr>
          <w:rFonts w:hint="eastAsia"/>
        </w:rPr>
        <w:t>实名认证</w:t>
      </w:r>
      <w:bookmarkEnd w:id="56"/>
      <w:bookmarkEnd w:id="57"/>
      <w:bookmarkEnd w:id="58"/>
      <w:bookmarkEnd w:id="59"/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进入首页点击“马上实名认证，便享更轻松的归集方式”，跳转至认证界面（图3-</w:t>
      </w:r>
      <w:r>
        <w:rPr>
          <w:rFonts w:ascii="宋体" w:hAnsi="宋体"/>
        </w:rPr>
        <w:t>2-7</w:t>
      </w:r>
      <w:r>
        <w:rPr>
          <w:rFonts w:hint="eastAsia" w:ascii="宋体" w:hAnsi="宋体"/>
        </w:rPr>
        <w:t>-1）。点击“开始拍照识别”按钮，根据提示识别身份证信息。识别成功后，自动填充真实姓名和身份证号。点击确认后，完成实名认证</w:t>
      </w:r>
      <w:r>
        <w:rPr>
          <w:rFonts w:ascii="宋体" w:hAnsi="宋体"/>
        </w:rPr>
        <w:t>（</w:t>
      </w:r>
      <w:r>
        <w:rPr>
          <w:rFonts w:hint="eastAsia" w:ascii="宋体" w:hAnsi="宋体"/>
        </w:rPr>
        <w:t>图3-</w:t>
      </w:r>
      <w:r>
        <w:rPr>
          <w:rFonts w:ascii="宋体" w:hAnsi="宋体"/>
        </w:rPr>
        <w:t>2-7</w:t>
      </w:r>
      <w:r>
        <w:rPr>
          <w:rFonts w:hint="eastAsia" w:ascii="宋体" w:hAnsi="宋体"/>
        </w:rPr>
        <w:t>-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）。可以点击“前往票夹查看”，进入我的票夹查看自动归集票据。</w:t>
      </w:r>
    </w:p>
    <w:p>
      <w:pPr>
        <w:jc w:val="center"/>
      </w:pPr>
      <w:r>
        <w:drawing>
          <wp:inline distT="0" distB="0" distL="114300" distR="114300">
            <wp:extent cx="2440940" cy="3906520"/>
            <wp:effectExtent l="0" t="0" r="22860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9830" cy="3938905"/>
            <wp:effectExtent l="0" t="0" r="13970" b="2349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2-7</w:t>
      </w:r>
      <w:r>
        <w:rPr>
          <w:rFonts w:hint="eastAsia" w:ascii="宋体" w:hAnsi="宋体"/>
        </w:rPr>
        <w:t>-1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 xml:space="preserve">  </w:t>
      </w:r>
      <w:r>
        <w:rPr>
          <w:rFonts w:ascii="宋体" w:hAnsi="宋体"/>
        </w:rPr>
        <w:tab/>
      </w:r>
      <w:r>
        <w:rPr>
          <w:rFonts w:ascii="宋体" w:hAnsi="宋体"/>
        </w:rPr>
        <w:t xml:space="preserve">      </w:t>
      </w:r>
      <w:r>
        <w:rPr>
          <w:rFonts w:hint="eastAsia" w:ascii="宋体" w:hAnsi="宋体"/>
        </w:rPr>
        <w:t>图3-</w:t>
      </w:r>
      <w:r>
        <w:rPr>
          <w:rFonts w:ascii="宋体" w:hAnsi="宋体"/>
        </w:rPr>
        <w:t>2-7</w:t>
      </w:r>
      <w:r>
        <w:rPr>
          <w:rFonts w:hint="eastAsia" w:ascii="宋体" w:hAnsi="宋体"/>
        </w:rPr>
        <w:t>-</w:t>
      </w:r>
      <w:r>
        <w:rPr>
          <w:rFonts w:ascii="宋体" w:hAnsi="宋体"/>
        </w:rPr>
        <w:t>2</w:t>
      </w:r>
    </w:p>
    <w:p>
      <w:pPr>
        <w:ind w:firstLine="420"/>
      </w:pPr>
      <w:r>
        <w:rPr>
          <w:rFonts w:hint="eastAsia"/>
        </w:rPr>
        <w:t>实名认证只能认证一次，用户实名认证时，判断身份证号是否已经被认证，被认证提示用户【身份证已被认证】</w:t>
      </w:r>
      <w:r>
        <w:rPr>
          <w:rFonts w:hint="eastAsia" w:ascii="宋体" w:hAnsi="宋体"/>
        </w:rPr>
        <w:t>（图3-</w:t>
      </w:r>
      <w:r>
        <w:rPr>
          <w:rFonts w:ascii="宋体" w:hAnsi="宋体"/>
        </w:rPr>
        <w:t>2-7</w:t>
      </w:r>
      <w:r>
        <w:rPr>
          <w:rFonts w:hint="eastAsia" w:ascii="宋体" w:hAnsi="宋体"/>
        </w:rPr>
        <w:t>-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）</w:t>
      </w:r>
    </w:p>
    <w:p>
      <w:pPr>
        <w:ind w:firstLine="420"/>
        <w:jc w:val="center"/>
      </w:pPr>
      <w:r>
        <w:rPr>
          <w:rFonts w:hint="eastAsia"/>
        </w:rPr>
        <w:drawing>
          <wp:inline distT="0" distB="0" distL="114300" distR="114300">
            <wp:extent cx="2169795" cy="3543300"/>
            <wp:effectExtent l="0" t="0" r="14605" b="12700"/>
            <wp:docPr id="28" name="图片 28" descr="fa0f0418e97b73af34c632f4a8bf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a0f0418e97b73af34c632f4a8bf95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2-7</w:t>
      </w:r>
      <w:r>
        <w:rPr>
          <w:rFonts w:hint="eastAsia" w:ascii="宋体" w:hAnsi="宋体"/>
        </w:rPr>
        <w:t>-</w:t>
      </w:r>
      <w:r>
        <w:rPr>
          <w:rFonts w:ascii="宋体" w:hAnsi="宋体"/>
        </w:rPr>
        <w:t>3</w:t>
      </w:r>
    </w:p>
    <w:p>
      <w:pPr>
        <w:pStyle w:val="3"/>
      </w:pPr>
      <w:bookmarkStart w:id="60" w:name="_Toc11680"/>
      <w:bookmarkStart w:id="61" w:name="_Toc19142_WPSOffice_Level1"/>
      <w:bookmarkStart w:id="62" w:name="_Toc28361_WPSOffice_Level1"/>
      <w:bookmarkStart w:id="63" w:name="_Toc20896"/>
      <w:r>
        <w:rPr>
          <w:rFonts w:hint="eastAsia"/>
        </w:rPr>
        <w:t>3.3票夹</w:t>
      </w:r>
      <w:bookmarkEnd w:id="60"/>
      <w:bookmarkEnd w:id="61"/>
      <w:bookmarkEnd w:id="62"/>
      <w:bookmarkEnd w:id="63"/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票夹页展示已保存至电子票夹的票据，点击票据可查看该票据的详细信息（图3-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）。票夹展示页可通过选择开票日期、票据状态、开票单位、交款人姓名、身份证号、票据号码对票据进行查询。</w:t>
      </w:r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票据展示页中已冲红、已打印和已冲红已打印的票据使用“已冲红”、“已打印”和“已冲红已打印”的字样标记。</w:t>
      </w:r>
    </w:p>
    <w:p>
      <w:pPr>
        <w:ind w:firstLine="420"/>
        <w:jc w:val="center"/>
      </w:pPr>
      <w:r>
        <w:drawing>
          <wp:inline distT="0" distB="0" distL="114300" distR="114300">
            <wp:extent cx="2468245" cy="4408805"/>
            <wp:effectExtent l="0" t="0" r="20955" b="107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440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481580" cy="4413885"/>
            <wp:effectExtent l="0" t="0" r="7620" b="5715"/>
            <wp:docPr id="34" name="图片 34" descr="a893b4f2953f2b62a2eb6e57bf1a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893b4f2953f2b62a2eb6e57bf1ac8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宋体" w:hAnsi="宋体"/>
        </w:rPr>
      </w:pPr>
      <w:bookmarkStart w:id="64" w:name="_Toc15785_WPSOffice_Level2"/>
      <w:r>
        <w:rPr>
          <w:rFonts w:hint="eastAsia" w:ascii="宋体" w:hAnsi="宋体"/>
        </w:rPr>
        <w:t>图3-</w:t>
      </w:r>
      <w:bookmarkEnd w:id="64"/>
      <w:r>
        <w:rPr>
          <w:rFonts w:ascii="宋体" w:hAnsi="宋体"/>
        </w:rPr>
        <w:t>3</w:t>
      </w:r>
    </w:p>
    <w:p>
      <w:pPr>
        <w:pStyle w:val="4"/>
      </w:pPr>
      <w:bookmarkStart w:id="65" w:name="_Toc8188"/>
      <w:bookmarkStart w:id="66" w:name="_Toc19150_WPSOffice_Level2"/>
      <w:bookmarkStart w:id="67" w:name="_Toc7095"/>
      <w:r>
        <w:rPr>
          <w:rFonts w:hint="eastAsia"/>
        </w:rPr>
        <w:t>3.3.1票据详情</w:t>
      </w:r>
      <w:bookmarkEnd w:id="65"/>
      <w:bookmarkEnd w:id="66"/>
      <w:bookmarkEnd w:id="67"/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点击票据进入票据详情页（图3-</w:t>
      </w:r>
      <w:r>
        <w:rPr>
          <w:rFonts w:ascii="宋体" w:hAnsi="宋体"/>
        </w:rPr>
        <w:t>3-1</w:t>
      </w:r>
      <w:r>
        <w:rPr>
          <w:rFonts w:hint="eastAsia" w:ascii="宋体" w:hAnsi="宋体"/>
        </w:rPr>
        <w:t>）。展示税务电子发票和财政电子发票的票据信息，包含：开票单位、票据代码、票据号码、校验码、开票日期、交款人、金额合计和备注信息。用户可以对该票进行通过手机号发送给他人、查看电子票和查看二维码，但是已打印和已冲红的票据无法查看二维码。</w:t>
      </w:r>
    </w:p>
    <w:p>
      <w:pPr>
        <w:jc w:val="center"/>
      </w:pPr>
      <w:r>
        <w:drawing>
          <wp:inline distT="0" distB="0" distL="114300" distR="114300">
            <wp:extent cx="2567305" cy="4293235"/>
            <wp:effectExtent l="0" t="0" r="23495" b="2476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429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7615" cy="4312920"/>
            <wp:effectExtent l="0" t="0" r="6985" b="50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3-1</w:t>
      </w:r>
    </w:p>
    <w:p>
      <w:pPr>
        <w:pStyle w:val="4"/>
      </w:pPr>
      <w:bookmarkStart w:id="68" w:name="_Toc17917_WPSOffice_Level2"/>
      <w:bookmarkStart w:id="69" w:name="_Toc651"/>
      <w:bookmarkStart w:id="70" w:name="_Toc25775"/>
      <w:r>
        <w:rPr>
          <w:rFonts w:hint="eastAsia"/>
        </w:rPr>
        <w:t>3.3.2</w:t>
      </w:r>
      <w:bookmarkStart w:id="71" w:name="_Toc4787"/>
      <w:r>
        <w:rPr>
          <w:rFonts w:hint="eastAsia"/>
        </w:rPr>
        <w:t>发送给他人</w:t>
      </w:r>
      <w:bookmarkEnd w:id="68"/>
      <w:bookmarkEnd w:id="69"/>
      <w:bookmarkEnd w:id="70"/>
      <w:bookmarkEnd w:id="71"/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进入票据详情页，点击“发送给他人”，弹出请输入手机号的提示窗（图3-</w:t>
      </w:r>
      <w:r>
        <w:rPr>
          <w:rFonts w:ascii="宋体" w:hAnsi="宋体"/>
        </w:rPr>
        <w:t>3-2</w:t>
      </w:r>
      <w:r>
        <w:rPr>
          <w:rFonts w:hint="eastAsia" w:ascii="宋体" w:hAnsi="宋体"/>
        </w:rPr>
        <w:t>）。输入手机号，点击“发送”将此票据发送给他人，发送成功后接收人可在票夹中查看此票据；点击“取消”，关闭发送给他人的窗口，取消发送给他人的操作。发送给他人后，本人不再拥有该票据。</w:t>
      </w:r>
    </w:p>
    <w:p>
      <w:pPr>
        <w:ind w:firstLine="420"/>
        <w:jc w:val="center"/>
      </w:pPr>
      <w:r>
        <w:drawing>
          <wp:inline distT="0" distB="0" distL="114300" distR="114300">
            <wp:extent cx="2696845" cy="4796790"/>
            <wp:effectExtent l="0" t="0" r="20955" b="381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479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3-2</w:t>
      </w:r>
    </w:p>
    <w:p>
      <w:pPr>
        <w:pStyle w:val="4"/>
      </w:pPr>
      <w:bookmarkStart w:id="72" w:name="_Toc3015_WPSOffice_Level2"/>
      <w:bookmarkStart w:id="73" w:name="_Toc24547"/>
      <w:bookmarkStart w:id="74" w:name="_Toc5115"/>
      <w:r>
        <w:rPr>
          <w:rFonts w:hint="eastAsia"/>
        </w:rPr>
        <w:t>3.3.3查看电子票</w:t>
      </w:r>
      <w:bookmarkEnd w:id="72"/>
      <w:bookmarkEnd w:id="73"/>
      <w:bookmarkEnd w:id="74"/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进入票据详情页点击“查看电子票”，展示电子票据图片并显示发送至邮箱按钮，而已冲红和已打印的票据无发送至邮箱按钮。如下图3</w:t>
      </w:r>
      <w:r>
        <w:rPr>
          <w:rFonts w:ascii="宋体" w:hAnsi="宋体"/>
        </w:rPr>
        <w:t>-3-3-1</w:t>
      </w:r>
      <w:r>
        <w:rPr>
          <w:rFonts w:hint="eastAsia" w:ascii="宋体" w:hAnsi="宋体"/>
        </w:rPr>
        <w:t>所示。</w:t>
      </w:r>
    </w:p>
    <w:p>
      <w:pPr>
        <w:jc w:val="center"/>
        <w:rPr>
          <w:rFonts w:ascii="宋体" w:hAnsi="宋体"/>
        </w:rPr>
      </w:pPr>
      <w:r>
        <w:drawing>
          <wp:inline distT="0" distB="0" distL="114300" distR="114300">
            <wp:extent cx="2853055" cy="5074920"/>
            <wp:effectExtent l="0" t="0" r="17145" b="508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507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3-3-1</w:t>
      </w:r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点击发送至邮箱按钮，弹出发送至邮箱提示框(图3-</w:t>
      </w:r>
      <w:r>
        <w:rPr>
          <w:rFonts w:ascii="宋体" w:hAnsi="宋体"/>
        </w:rPr>
        <w:t>3-3-2</w:t>
      </w:r>
      <w:r>
        <w:rPr>
          <w:rFonts w:hint="eastAsia" w:ascii="宋体" w:hAnsi="宋体"/>
        </w:rPr>
        <w:t>)，录入邮箱后，点击发送，可以发送到用户的邮箱。票据邮箱展示效果如图所示（图3-</w:t>
      </w:r>
      <w:r>
        <w:rPr>
          <w:rFonts w:ascii="宋体" w:hAnsi="宋体"/>
        </w:rPr>
        <w:t>3-3-3</w:t>
      </w:r>
      <w:r>
        <w:rPr>
          <w:rFonts w:hint="eastAsia" w:ascii="宋体" w:hAnsi="宋体"/>
        </w:rPr>
        <w:t>）。</w:t>
      </w:r>
    </w:p>
    <w:p>
      <w:pPr>
        <w:jc w:val="center"/>
      </w:pPr>
      <w:r>
        <w:drawing>
          <wp:inline distT="0" distB="0" distL="114300" distR="114300">
            <wp:extent cx="2752725" cy="4880610"/>
            <wp:effectExtent l="0" t="0" r="15875" b="2159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 w:ascii="宋体" w:hAnsi="宋体"/>
        </w:rPr>
        <w:t>3-</w:t>
      </w:r>
      <w:r>
        <w:rPr>
          <w:rFonts w:ascii="宋体" w:hAnsi="宋体"/>
        </w:rPr>
        <w:t>3-3-2</w:t>
      </w:r>
    </w:p>
    <w:p>
      <w:r>
        <w:drawing>
          <wp:inline distT="0" distB="0" distL="114300" distR="114300">
            <wp:extent cx="5270500" cy="1585595"/>
            <wp:effectExtent l="0" t="0" r="2540" b="14605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hint="eastAsia"/>
        </w:rPr>
        <w:t>图</w:t>
      </w:r>
      <w:r>
        <w:rPr>
          <w:rFonts w:hint="eastAsia" w:ascii="宋体" w:hAnsi="宋体"/>
        </w:rPr>
        <w:t>3-</w:t>
      </w:r>
      <w:r>
        <w:rPr>
          <w:rFonts w:ascii="宋体" w:hAnsi="宋体"/>
        </w:rPr>
        <w:t>3-3-3</w:t>
      </w:r>
    </w:p>
    <w:p>
      <w:pPr>
        <w:pStyle w:val="4"/>
      </w:pPr>
      <w:bookmarkStart w:id="75" w:name="_Toc25341"/>
      <w:bookmarkStart w:id="76" w:name="_Toc30424_WPSOffice_Level2"/>
      <w:bookmarkStart w:id="77" w:name="_Toc10160"/>
      <w:r>
        <w:rPr>
          <w:rFonts w:hint="eastAsia"/>
        </w:rPr>
        <w:t>3.3.4</w:t>
      </w:r>
      <w:bookmarkStart w:id="78" w:name="_Toc28851"/>
      <w:r>
        <w:rPr>
          <w:rFonts w:hint="eastAsia"/>
        </w:rPr>
        <w:t>显示二维码</w:t>
      </w:r>
      <w:bookmarkEnd w:id="75"/>
      <w:bookmarkEnd w:id="76"/>
      <w:bookmarkEnd w:id="77"/>
      <w:bookmarkEnd w:id="78"/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进入票据详情页点击“显示二维码</w:t>
      </w:r>
      <w:r>
        <w:rPr>
          <w:rFonts w:ascii="宋体" w:hAnsi="宋体"/>
        </w:rPr>
        <w:t>”</w:t>
      </w:r>
      <w:r>
        <w:rPr>
          <w:rFonts w:hint="eastAsia" w:ascii="宋体" w:hAnsi="宋体"/>
        </w:rPr>
        <w:t>，弹出该票据的二维码（图3-</w:t>
      </w:r>
      <w:r>
        <w:rPr>
          <w:rFonts w:ascii="宋体" w:hAnsi="宋体"/>
        </w:rPr>
        <w:t>3-4</w:t>
      </w:r>
      <w:r>
        <w:rPr>
          <w:rFonts w:hint="eastAsia" w:ascii="宋体" w:hAnsi="宋体"/>
        </w:rPr>
        <w:t>），用户可通过此二维码进行查验票据。</w:t>
      </w:r>
    </w:p>
    <w:p>
      <w:pPr>
        <w:jc w:val="center"/>
      </w:pPr>
      <w:r>
        <w:drawing>
          <wp:inline distT="0" distB="0" distL="114300" distR="114300">
            <wp:extent cx="2840990" cy="4474210"/>
            <wp:effectExtent l="0" t="0" r="3810" b="2159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447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3-4</w:t>
      </w:r>
    </w:p>
    <w:p>
      <w:pPr>
        <w:pStyle w:val="3"/>
      </w:pPr>
      <w:bookmarkStart w:id="79" w:name="_Toc12616_WPSOffice_Level1"/>
      <w:bookmarkStart w:id="80" w:name="_Toc32340_WPSOffice_Level1"/>
      <w:bookmarkStart w:id="81" w:name="_Toc18874"/>
      <w:bookmarkStart w:id="82" w:name="_Toc1845"/>
      <w:r>
        <w:rPr>
          <w:rFonts w:hint="eastAsia"/>
        </w:rPr>
        <w:t>3.4我的</w:t>
      </w:r>
      <w:bookmarkEnd w:id="79"/>
      <w:bookmarkEnd w:id="80"/>
      <w:bookmarkEnd w:id="81"/>
      <w:bookmarkEnd w:id="82"/>
    </w:p>
    <w:p>
      <w:r>
        <w:tab/>
      </w:r>
      <w:r>
        <w:rPr>
          <w:rFonts w:hint="eastAsia"/>
        </w:rPr>
        <w:t>点击“我的”进入个人中心，在未登录状态下进入个人中心，头像下方有登录按钮，用户可点击“登录”按钮进行登录。用户在登录后头像下方显示用户的手机号，且无法点击。个人中心页包含票据抬头、实名认证、发送记录、开票历史、用户协议和退出登录六个功能。页</w:t>
      </w:r>
      <w:r>
        <w:rPr>
          <w:rFonts w:hint="eastAsia" w:ascii="宋体" w:hAnsi="宋体"/>
        </w:rPr>
        <w:t>面详情如下图3-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所示。</w:t>
      </w:r>
    </w:p>
    <w:p>
      <w:pPr>
        <w:jc w:val="center"/>
      </w:pPr>
      <w:r>
        <w:drawing>
          <wp:inline distT="0" distB="0" distL="0" distR="0">
            <wp:extent cx="2929255" cy="4742815"/>
            <wp:effectExtent l="0" t="0" r="1714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bookmarkStart w:id="83" w:name="_Toc6408_WPSOffice_Level2"/>
      <w:r>
        <w:rPr>
          <w:rFonts w:hint="eastAsia" w:ascii="宋体" w:hAnsi="宋体"/>
        </w:rPr>
        <w:t>图3-</w:t>
      </w:r>
      <w:bookmarkEnd w:id="83"/>
      <w:r>
        <w:rPr>
          <w:rFonts w:ascii="宋体" w:hAnsi="宋体"/>
        </w:rPr>
        <w:t>4</w:t>
      </w:r>
    </w:p>
    <w:p>
      <w:pPr>
        <w:pStyle w:val="4"/>
      </w:pPr>
      <w:bookmarkStart w:id="84" w:name="_Toc16660"/>
      <w:bookmarkStart w:id="85" w:name="_Toc32315_WPSOffice_Level2"/>
      <w:bookmarkStart w:id="86" w:name="_Toc23144"/>
      <w:r>
        <w:rPr>
          <w:rFonts w:hint="eastAsia"/>
        </w:rPr>
        <w:t>3.4.1票据抬头</w:t>
      </w:r>
      <w:bookmarkEnd w:id="84"/>
      <w:bookmarkEnd w:id="85"/>
      <w:bookmarkEnd w:id="86"/>
    </w:p>
    <w:p>
      <w:r>
        <w:tab/>
      </w:r>
      <w:r>
        <w:rPr>
          <w:rFonts w:hint="eastAsia"/>
        </w:rPr>
        <w:t>进入个人中心页点击“票据抬头”进入票据抬头管理页，用户在开票时可以出示票据抬头信息或二维码，让开票方准确且快速地获取开票信息，使开票更为便捷。</w:t>
      </w:r>
    </w:p>
    <w:p>
      <w:pPr>
        <w:ind w:firstLine="420"/>
      </w:pPr>
      <w:r>
        <w:rPr>
          <w:rFonts w:hint="eastAsia"/>
        </w:rPr>
        <w:t>用户可以添加、修改、删除票据抬头信息，其中可添加的票据抬头种类有两种，分别为：企业单位和个人非企业单位。票据抬头页如</w:t>
      </w:r>
      <w:r>
        <w:rPr>
          <w:rFonts w:hint="eastAsia" w:ascii="宋体" w:hAnsi="宋体"/>
        </w:rPr>
        <w:t>下图3-</w:t>
      </w:r>
      <w:r>
        <w:rPr>
          <w:rFonts w:ascii="宋体" w:hAnsi="宋体"/>
        </w:rPr>
        <w:t>4-1</w:t>
      </w:r>
      <w:r>
        <w:rPr>
          <w:rFonts w:hint="eastAsia" w:ascii="宋体" w:hAnsi="宋体"/>
        </w:rPr>
        <w:t>所示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2979420" cy="4601845"/>
            <wp:effectExtent l="0" t="0" r="17780" b="209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4-1</w:t>
      </w:r>
    </w:p>
    <w:p>
      <w:pPr>
        <w:pStyle w:val="5"/>
      </w:pPr>
      <w:bookmarkStart w:id="87" w:name="_Toc9547"/>
      <w:r>
        <w:rPr>
          <w:rFonts w:hint="eastAsia"/>
        </w:rPr>
        <w:t>3</w:t>
      </w:r>
      <w:r>
        <w:t>.4.1.1</w:t>
      </w:r>
      <w:r>
        <w:rPr>
          <w:rFonts w:hint="eastAsia"/>
        </w:rPr>
        <w:t>票据抬头详情</w:t>
      </w:r>
      <w:bookmarkEnd w:id="87"/>
    </w:p>
    <w:p>
      <w:r>
        <w:tab/>
      </w:r>
      <w:r>
        <w:rPr>
          <w:rFonts w:hint="eastAsia"/>
        </w:rPr>
        <w:t>进入票据抬头页，点击任一抬头信息跳转至票据抬头详情页</w:t>
      </w:r>
      <w:r>
        <w:rPr>
          <w:rFonts w:hint="eastAsia" w:ascii="宋体" w:hAnsi="宋体"/>
        </w:rPr>
        <w:t>（图</w:t>
      </w:r>
      <w:r>
        <w:rPr>
          <w:rFonts w:ascii="宋体" w:hAnsi="宋体"/>
        </w:rPr>
        <w:t>3-4-1-1</w:t>
      </w:r>
      <w:r>
        <w:rPr>
          <w:rFonts w:hint="eastAsia" w:ascii="宋体" w:hAnsi="宋体"/>
        </w:rPr>
        <w:t>）。</w:t>
      </w:r>
      <w:r>
        <w:rPr>
          <w:rFonts w:hint="eastAsia"/>
        </w:rPr>
        <w:t>详情页中有抬头的详细信息、包含抬头信息的二维码和删除、修改、回到首页的按钮。</w:t>
      </w:r>
    </w:p>
    <w:p>
      <w:pPr>
        <w:jc w:val="center"/>
      </w:pPr>
      <w:r>
        <w:drawing>
          <wp:inline distT="0" distB="0" distL="0" distR="0">
            <wp:extent cx="2815590" cy="4544695"/>
            <wp:effectExtent l="0" t="0" r="381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4-1-1</w:t>
      </w:r>
    </w:p>
    <w:p>
      <w:pPr>
        <w:pStyle w:val="5"/>
      </w:pPr>
      <w:bookmarkStart w:id="88" w:name="_Toc29448"/>
      <w:r>
        <w:rPr>
          <w:rFonts w:hint="eastAsia"/>
        </w:rPr>
        <w:t>3</w:t>
      </w:r>
      <w:r>
        <w:t>.4.1.2</w:t>
      </w:r>
      <w:r>
        <w:rPr>
          <w:rFonts w:hint="eastAsia"/>
        </w:rPr>
        <w:t>添加票据抬头</w:t>
      </w:r>
      <w:bookmarkEnd w:id="88"/>
    </w:p>
    <w:p>
      <w:r>
        <w:tab/>
      </w:r>
      <w:r>
        <w:rPr>
          <w:rFonts w:hint="eastAsia"/>
        </w:rPr>
        <w:t>进入票据抬头页，点击“添加”按钮进入票据抬头添加页</w:t>
      </w:r>
      <w:r>
        <w:rPr>
          <w:rFonts w:hint="eastAsia" w:ascii="宋体" w:hAnsi="宋体"/>
        </w:rPr>
        <w:t>（图3-</w:t>
      </w:r>
      <w:r>
        <w:rPr>
          <w:rFonts w:ascii="宋体" w:hAnsi="宋体"/>
        </w:rPr>
        <w:t>4-1-2</w:t>
      </w:r>
      <w:r>
        <w:rPr>
          <w:rFonts w:hint="eastAsia" w:ascii="宋体" w:hAnsi="宋体"/>
        </w:rPr>
        <w:t>）</w:t>
      </w:r>
      <w:r>
        <w:rPr>
          <w:rFonts w:hint="eastAsia"/>
        </w:rPr>
        <w:t>，首先须选择抬头类型（企业单位和个人/非企业单位），然后根据提示添加准确的抬头信息，填写完成后点击“保存”按钮，用户可在票据抬头列表中查看添加的抬头信息。</w:t>
      </w:r>
    </w:p>
    <w:p>
      <w:pPr>
        <w:jc w:val="center"/>
      </w:pPr>
      <w:r>
        <w:drawing>
          <wp:inline distT="0" distB="0" distL="0" distR="0">
            <wp:extent cx="2800985" cy="4109085"/>
            <wp:effectExtent l="0" t="0" r="1841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4-1-2</w:t>
      </w:r>
    </w:p>
    <w:p>
      <w:pPr>
        <w:pStyle w:val="5"/>
      </w:pPr>
      <w:bookmarkStart w:id="89" w:name="_Toc20250"/>
      <w:r>
        <w:rPr>
          <w:rFonts w:hint="eastAsia"/>
        </w:rPr>
        <w:t>3</w:t>
      </w:r>
      <w:r>
        <w:t>.4.1.3</w:t>
      </w:r>
      <w:r>
        <w:rPr>
          <w:rFonts w:hint="eastAsia"/>
        </w:rPr>
        <w:t>编辑、删除票据抬头</w:t>
      </w:r>
      <w:bookmarkEnd w:id="89"/>
    </w:p>
    <w:p>
      <w:r>
        <w:tab/>
      </w:r>
      <w:r>
        <w:rPr>
          <w:rFonts w:hint="eastAsia"/>
        </w:rPr>
        <w:t>进入票据抬头详情页，点击“编辑”按钮进入编</w:t>
      </w:r>
      <w:r>
        <w:rPr>
          <w:rFonts w:hint="eastAsia" w:ascii="宋体" w:hAnsi="宋体"/>
        </w:rPr>
        <w:t>辑页（图3-</w:t>
      </w:r>
      <w:r>
        <w:rPr>
          <w:rFonts w:ascii="宋体" w:hAnsi="宋体"/>
        </w:rPr>
        <w:t>4-1-3-1</w:t>
      </w:r>
      <w:r>
        <w:rPr>
          <w:rFonts w:hint="eastAsia" w:ascii="宋体" w:hAnsi="宋体"/>
        </w:rPr>
        <w:t>）可</w:t>
      </w:r>
      <w:r>
        <w:rPr>
          <w:rFonts w:hint="eastAsia"/>
        </w:rPr>
        <w:t>对原有信息进行修改，点击“删除”按钮可将该票据抬头信息删除。票据抬头信息也可在票据抬头页中点击“删除图标”进行删除操作</w:t>
      </w:r>
      <w:r>
        <w:rPr>
          <w:rFonts w:hint="eastAsia" w:ascii="宋体" w:hAnsi="宋体"/>
        </w:rPr>
        <w:t>（图3-</w:t>
      </w:r>
      <w:r>
        <w:rPr>
          <w:rFonts w:ascii="宋体" w:hAnsi="宋体"/>
        </w:rPr>
        <w:t>4-1-3-2</w:t>
      </w:r>
      <w:r>
        <w:rPr>
          <w:rFonts w:hint="eastAsia" w:ascii="宋体" w:hAnsi="宋体"/>
        </w:rPr>
        <w:t>）。</w:t>
      </w:r>
    </w:p>
    <w:p>
      <w:pPr>
        <w:jc w:val="center"/>
      </w:pPr>
      <w:r>
        <w:drawing>
          <wp:inline distT="0" distB="0" distL="0" distR="0">
            <wp:extent cx="2594610" cy="3700145"/>
            <wp:effectExtent l="0" t="0" r="2159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11120" cy="3682365"/>
            <wp:effectExtent l="0" t="0" r="508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 xml:space="preserve">4-1-3-1                     </w:t>
      </w:r>
      <w:r>
        <w:rPr>
          <w:rFonts w:hint="eastAsia" w:ascii="宋体" w:hAnsi="宋体"/>
        </w:rPr>
        <w:t>图3-</w:t>
      </w:r>
      <w:r>
        <w:rPr>
          <w:rFonts w:ascii="宋体" w:hAnsi="宋体"/>
        </w:rPr>
        <w:t>4-1-3-2</w:t>
      </w:r>
    </w:p>
    <w:p>
      <w:pPr>
        <w:pStyle w:val="4"/>
      </w:pPr>
      <w:bookmarkStart w:id="90" w:name="_Toc3513"/>
      <w:bookmarkStart w:id="91" w:name="_Toc18828_WPSOffice_Level2"/>
      <w:bookmarkStart w:id="92" w:name="_Toc1658"/>
      <w:r>
        <w:rPr>
          <w:rFonts w:hint="eastAsia"/>
        </w:rPr>
        <w:t>3</w:t>
      </w:r>
      <w:r>
        <w:t>.4.2</w:t>
      </w:r>
      <w:r>
        <w:rPr>
          <w:rFonts w:hint="eastAsia"/>
        </w:rPr>
        <w:t>实名认证</w:t>
      </w:r>
      <w:bookmarkEnd w:id="90"/>
      <w:bookmarkEnd w:id="91"/>
      <w:bookmarkEnd w:id="92"/>
    </w:p>
    <w:p>
      <w:r>
        <w:tab/>
      </w:r>
      <w:r>
        <w:rPr>
          <w:rFonts w:hint="eastAsia"/>
        </w:rPr>
        <w:t>进入个人中心页点击“实名认证”进入我的信息页，已认证通过的用户在“我的信息”页展示真实姓名和身份证</w:t>
      </w:r>
      <w:r>
        <w:rPr>
          <w:rFonts w:hint="eastAsia" w:ascii="宋体" w:hAnsi="宋体"/>
        </w:rPr>
        <w:t>号（图3</w:t>
      </w:r>
      <w:r>
        <w:rPr>
          <w:rFonts w:ascii="宋体" w:hAnsi="宋体"/>
        </w:rPr>
        <w:t>-4-2-1</w:t>
      </w:r>
      <w:r>
        <w:rPr>
          <w:rFonts w:hint="eastAsia" w:ascii="宋体" w:hAnsi="宋体"/>
        </w:rPr>
        <w:t>），而未认证的用户在点击“实名认证”后跳转至“实名认证”页（图3-</w:t>
      </w:r>
      <w:r>
        <w:rPr>
          <w:rFonts w:ascii="宋体" w:hAnsi="宋体"/>
        </w:rPr>
        <w:t>4-2-2</w:t>
      </w:r>
      <w:r>
        <w:rPr>
          <w:rFonts w:hint="eastAsia" w:ascii="宋体" w:hAnsi="宋体"/>
        </w:rPr>
        <w:t>）。</w:t>
      </w:r>
    </w:p>
    <w:p>
      <w:pPr>
        <w:jc w:val="center"/>
      </w:pPr>
      <w:r>
        <w:drawing>
          <wp:inline distT="0" distB="0" distL="0" distR="0">
            <wp:extent cx="2685415" cy="3876675"/>
            <wp:effectExtent l="0" t="0" r="698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3490" cy="3969385"/>
            <wp:effectExtent l="0" t="0" r="16510" b="1841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4-2-1</w:t>
      </w:r>
      <w:r>
        <w:rPr>
          <w:rFonts w:hint="eastAsia" w:ascii="宋体" w:hAnsi="宋体"/>
        </w:rPr>
        <w:t xml:space="preserve">            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hint="eastAsia" w:ascii="宋体" w:hAnsi="宋体"/>
        </w:rPr>
        <w:t xml:space="preserve">   图3-</w:t>
      </w:r>
      <w:r>
        <w:rPr>
          <w:rFonts w:ascii="宋体" w:hAnsi="宋体"/>
        </w:rPr>
        <w:t>4-2-2</w:t>
      </w:r>
    </w:p>
    <w:p>
      <w:pPr>
        <w:pStyle w:val="4"/>
      </w:pPr>
      <w:bookmarkStart w:id="93" w:name="_Toc12619"/>
      <w:bookmarkStart w:id="94" w:name="_Toc7241_WPSOffice_Level2"/>
      <w:bookmarkStart w:id="95" w:name="_Toc24692"/>
      <w:r>
        <w:rPr>
          <w:rFonts w:hint="eastAsia"/>
        </w:rPr>
        <w:t>3.4.3发送记录</w:t>
      </w:r>
      <w:bookmarkEnd w:id="93"/>
      <w:bookmarkEnd w:id="94"/>
      <w:bookmarkEnd w:id="95"/>
    </w:p>
    <w:p>
      <w:r>
        <w:tab/>
      </w:r>
      <w:r>
        <w:rPr>
          <w:rFonts w:hint="eastAsia"/>
        </w:rPr>
        <w:t>进入个人中心页点击“发送记录”进入发送记录列表展示页，发送记录页展示了票据接收者的信息和发送票据的详细</w:t>
      </w:r>
      <w:r>
        <w:rPr>
          <w:rFonts w:hint="eastAsia" w:ascii="宋体" w:hAnsi="宋体"/>
        </w:rPr>
        <w:t>信息。如下图3-</w:t>
      </w:r>
      <w:r>
        <w:rPr>
          <w:rFonts w:ascii="宋体" w:hAnsi="宋体"/>
        </w:rPr>
        <w:t>4-3</w:t>
      </w:r>
      <w:r>
        <w:rPr>
          <w:rFonts w:hint="eastAsia" w:ascii="宋体" w:hAnsi="宋体"/>
        </w:rPr>
        <w:t>所示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3185160" cy="4558665"/>
            <wp:effectExtent l="0" t="0" r="15240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4-3</w:t>
      </w:r>
    </w:p>
    <w:p>
      <w:pPr>
        <w:pStyle w:val="4"/>
      </w:pPr>
      <w:bookmarkStart w:id="96" w:name="_Toc24694"/>
      <w:bookmarkStart w:id="97" w:name="_Toc21939_WPSOffice_Level2"/>
      <w:bookmarkStart w:id="98" w:name="_Toc2658"/>
      <w:r>
        <w:rPr>
          <w:rFonts w:hint="eastAsia"/>
        </w:rPr>
        <w:t>3.4.4开票历史</w:t>
      </w:r>
      <w:bookmarkEnd w:id="96"/>
      <w:bookmarkEnd w:id="97"/>
      <w:bookmarkEnd w:id="98"/>
    </w:p>
    <w:p>
      <w:r>
        <w:tab/>
      </w:r>
      <w:r>
        <w:rPr>
          <w:rFonts w:hint="eastAsia"/>
        </w:rPr>
        <w:t>进入个人中心页点击“开票历史”查看开票历史信息。</w:t>
      </w:r>
    </w:p>
    <w:p>
      <w:pPr>
        <w:pStyle w:val="4"/>
      </w:pPr>
      <w:bookmarkStart w:id="99" w:name="_Toc7367"/>
      <w:bookmarkStart w:id="100" w:name="_Toc25991_WPSOffice_Level2"/>
      <w:bookmarkStart w:id="101" w:name="_Toc11705"/>
      <w:r>
        <w:rPr>
          <w:rFonts w:hint="eastAsia"/>
        </w:rPr>
        <w:t>3.4.5用户协议</w:t>
      </w:r>
      <w:bookmarkEnd w:id="99"/>
      <w:bookmarkEnd w:id="100"/>
      <w:bookmarkEnd w:id="101"/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进入个人中心点击“用户协议”，查看用户协议内容，如下图3-</w:t>
      </w:r>
      <w:r>
        <w:rPr>
          <w:rFonts w:ascii="宋体" w:hAnsi="宋体"/>
        </w:rPr>
        <w:t>4-5</w:t>
      </w:r>
      <w:r>
        <w:rPr>
          <w:rFonts w:hint="eastAsia" w:ascii="宋体" w:hAnsi="宋体"/>
        </w:rPr>
        <w:t>所示。</w:t>
      </w:r>
    </w:p>
    <w:p>
      <w:pPr>
        <w:jc w:val="center"/>
      </w:pPr>
      <w:r>
        <w:drawing>
          <wp:inline distT="0" distB="0" distL="114300" distR="114300">
            <wp:extent cx="3100070" cy="4970780"/>
            <wp:effectExtent l="0" t="0" r="24130" b="7620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97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4-5</w:t>
      </w:r>
    </w:p>
    <w:p>
      <w:pPr>
        <w:pStyle w:val="4"/>
        <w:rPr>
          <w:rFonts w:ascii="宋体" w:hAnsi="宋体"/>
          <w:b w:val="0"/>
          <w:sz w:val="24"/>
        </w:rPr>
      </w:pPr>
      <w:bookmarkStart w:id="102" w:name="_Toc1035"/>
      <w:bookmarkStart w:id="103" w:name="_Toc20230_WPSOffice_Level2"/>
      <w:bookmarkStart w:id="104" w:name="_Toc17986"/>
      <w:r>
        <w:rPr>
          <w:rFonts w:hint="eastAsia"/>
        </w:rPr>
        <w:t>3.4.6退出登录</w:t>
      </w:r>
      <w:bookmarkEnd w:id="102"/>
      <w:bookmarkEnd w:id="103"/>
      <w:bookmarkEnd w:id="104"/>
    </w:p>
    <w:p>
      <w:pPr>
        <w:ind w:firstLine="420"/>
      </w:pPr>
      <w:r>
        <w:rPr>
          <w:rFonts w:hint="eastAsia" w:ascii="宋体" w:hAnsi="宋体"/>
        </w:rPr>
        <w:t>进入个人中心页点击“退出登录”后，弹出退出登录提示窗（图3-</w:t>
      </w:r>
      <w:r>
        <w:rPr>
          <w:rFonts w:ascii="宋体" w:hAnsi="宋体"/>
        </w:rPr>
        <w:t>4-6</w:t>
      </w:r>
      <w:r>
        <w:rPr>
          <w:rFonts w:hint="eastAsia"/>
        </w:rPr>
        <w:t>），点击“确定”按钮完成用户登录信息的注销。</w:t>
      </w:r>
    </w:p>
    <w:p>
      <w:pPr>
        <w:jc w:val="center"/>
      </w:pPr>
      <w:r>
        <w:drawing>
          <wp:inline distT="0" distB="0" distL="114300" distR="114300">
            <wp:extent cx="2925445" cy="4762500"/>
            <wp:effectExtent l="0" t="0" r="20955" b="1270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</w:rPr>
        <w:t>图3-</w:t>
      </w:r>
      <w:r>
        <w:rPr>
          <w:rFonts w:ascii="宋体" w:hAnsi="宋体"/>
        </w:rPr>
        <w:t>4-6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qPGc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pSo8Z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</w:pPr>
    <w:r>
      <w:rPr>
        <w:sz w:val="21"/>
        <w:szCs w:val="21"/>
      </w:rPr>
      <w:drawing>
        <wp:inline distT="0" distB="0" distL="0" distR="0">
          <wp:extent cx="295910" cy="231775"/>
          <wp:effectExtent l="0" t="0" r="8890" b="12065"/>
          <wp:docPr id="61" name="图片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370" cy="254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>电子票夹                                                     用户手册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3NzY2Y2VlN2FjMDhlOWI4MWUwZDRmMzMxMTFmYWUifQ=="/>
  </w:docVars>
  <w:rsids>
    <w:rsidRoot w:val="00547FDC"/>
    <w:rsid w:val="00012EF8"/>
    <w:rsid w:val="00043EEA"/>
    <w:rsid w:val="00085B30"/>
    <w:rsid w:val="001232E0"/>
    <w:rsid w:val="0017665F"/>
    <w:rsid w:val="001815E4"/>
    <w:rsid w:val="001F1401"/>
    <w:rsid w:val="00527ED9"/>
    <w:rsid w:val="00533DDE"/>
    <w:rsid w:val="00547FDC"/>
    <w:rsid w:val="005F38F3"/>
    <w:rsid w:val="00754978"/>
    <w:rsid w:val="007D3D71"/>
    <w:rsid w:val="00B14162"/>
    <w:rsid w:val="00B51E4B"/>
    <w:rsid w:val="00C92B92"/>
    <w:rsid w:val="00E7667D"/>
    <w:rsid w:val="00EF06D7"/>
    <w:rsid w:val="00F452BC"/>
    <w:rsid w:val="04151ED2"/>
    <w:rsid w:val="05B267BA"/>
    <w:rsid w:val="06CFC659"/>
    <w:rsid w:val="08DEA14E"/>
    <w:rsid w:val="09CB4C6B"/>
    <w:rsid w:val="0BE3012A"/>
    <w:rsid w:val="0BEB00EE"/>
    <w:rsid w:val="0E6B7228"/>
    <w:rsid w:val="0EB7D3FB"/>
    <w:rsid w:val="0EFCEE03"/>
    <w:rsid w:val="12395A96"/>
    <w:rsid w:val="137A2CEB"/>
    <w:rsid w:val="13F5E430"/>
    <w:rsid w:val="15057222"/>
    <w:rsid w:val="16AF0CCE"/>
    <w:rsid w:val="173CACFD"/>
    <w:rsid w:val="177F878C"/>
    <w:rsid w:val="195663D3"/>
    <w:rsid w:val="1BDB3EAA"/>
    <w:rsid w:val="1BF567F1"/>
    <w:rsid w:val="1C861E57"/>
    <w:rsid w:val="1CFD47DD"/>
    <w:rsid w:val="1CFE14F8"/>
    <w:rsid w:val="1D7F9861"/>
    <w:rsid w:val="1DABF47C"/>
    <w:rsid w:val="1DDBCA57"/>
    <w:rsid w:val="1E7FE00F"/>
    <w:rsid w:val="1EBEAEEC"/>
    <w:rsid w:val="1EFE3225"/>
    <w:rsid w:val="1EFFE740"/>
    <w:rsid w:val="1F9FBA9B"/>
    <w:rsid w:val="1FD7065A"/>
    <w:rsid w:val="1FDFEC89"/>
    <w:rsid w:val="20B65F4D"/>
    <w:rsid w:val="227EA07F"/>
    <w:rsid w:val="243E50D6"/>
    <w:rsid w:val="24931E3F"/>
    <w:rsid w:val="26E75636"/>
    <w:rsid w:val="279923FA"/>
    <w:rsid w:val="28F85086"/>
    <w:rsid w:val="29359236"/>
    <w:rsid w:val="296673FE"/>
    <w:rsid w:val="297F480C"/>
    <w:rsid w:val="2A7FC724"/>
    <w:rsid w:val="2B351157"/>
    <w:rsid w:val="2BDF7841"/>
    <w:rsid w:val="2CDB338F"/>
    <w:rsid w:val="2DEFC1F6"/>
    <w:rsid w:val="2E7B89A2"/>
    <w:rsid w:val="2E8324C8"/>
    <w:rsid w:val="2ED90DD9"/>
    <w:rsid w:val="2F09582D"/>
    <w:rsid w:val="2FD9CB68"/>
    <w:rsid w:val="2FDB8ED0"/>
    <w:rsid w:val="2FF3027C"/>
    <w:rsid w:val="2FFE7D77"/>
    <w:rsid w:val="2FFEE593"/>
    <w:rsid w:val="302E7AB5"/>
    <w:rsid w:val="30D36688"/>
    <w:rsid w:val="32F780D1"/>
    <w:rsid w:val="33767E4E"/>
    <w:rsid w:val="33FF7D0E"/>
    <w:rsid w:val="37674FE0"/>
    <w:rsid w:val="37BD3BBE"/>
    <w:rsid w:val="37D703DB"/>
    <w:rsid w:val="37FF621C"/>
    <w:rsid w:val="38C71CA2"/>
    <w:rsid w:val="39F6C361"/>
    <w:rsid w:val="39FB4B2C"/>
    <w:rsid w:val="3A376DEA"/>
    <w:rsid w:val="3ACA743C"/>
    <w:rsid w:val="3ACC746E"/>
    <w:rsid w:val="3BE2E186"/>
    <w:rsid w:val="3BEF761C"/>
    <w:rsid w:val="3BF675DD"/>
    <w:rsid w:val="3D3FA8CD"/>
    <w:rsid w:val="3D4DF169"/>
    <w:rsid w:val="3D9D2028"/>
    <w:rsid w:val="3DD714B0"/>
    <w:rsid w:val="3DDF4CD1"/>
    <w:rsid w:val="3DF1E851"/>
    <w:rsid w:val="3DF3B575"/>
    <w:rsid w:val="3EACA9C6"/>
    <w:rsid w:val="3EAE7AA2"/>
    <w:rsid w:val="3EBD6DAF"/>
    <w:rsid w:val="3EFFFE3C"/>
    <w:rsid w:val="3F1B8844"/>
    <w:rsid w:val="3F1FAA3B"/>
    <w:rsid w:val="3F2716D6"/>
    <w:rsid w:val="3F57C404"/>
    <w:rsid w:val="3F5B475C"/>
    <w:rsid w:val="3F5F28E6"/>
    <w:rsid w:val="3F7D4CBD"/>
    <w:rsid w:val="3F7F54D0"/>
    <w:rsid w:val="3F7FC766"/>
    <w:rsid w:val="3F9FF31A"/>
    <w:rsid w:val="3FBD8077"/>
    <w:rsid w:val="3FD12630"/>
    <w:rsid w:val="3FD2CD6E"/>
    <w:rsid w:val="3FD97F7E"/>
    <w:rsid w:val="3FDF2699"/>
    <w:rsid w:val="3FE65CB4"/>
    <w:rsid w:val="3FEF4DD6"/>
    <w:rsid w:val="3FF69E62"/>
    <w:rsid w:val="3FF9CE54"/>
    <w:rsid w:val="3FFB2CB1"/>
    <w:rsid w:val="3FFB6834"/>
    <w:rsid w:val="3FFC33C6"/>
    <w:rsid w:val="3FFF0081"/>
    <w:rsid w:val="3FFF089F"/>
    <w:rsid w:val="41B52EA4"/>
    <w:rsid w:val="42F88A37"/>
    <w:rsid w:val="43D964B2"/>
    <w:rsid w:val="43EE73C0"/>
    <w:rsid w:val="451949E3"/>
    <w:rsid w:val="47574866"/>
    <w:rsid w:val="475CC868"/>
    <w:rsid w:val="47659141"/>
    <w:rsid w:val="47BFED16"/>
    <w:rsid w:val="47F72F95"/>
    <w:rsid w:val="47FB87A8"/>
    <w:rsid w:val="48FC24C2"/>
    <w:rsid w:val="4BEA95C7"/>
    <w:rsid w:val="4BF32392"/>
    <w:rsid w:val="4CDB0C08"/>
    <w:rsid w:val="4DDFA37C"/>
    <w:rsid w:val="4DFB7381"/>
    <w:rsid w:val="4EB52455"/>
    <w:rsid w:val="4EFB5326"/>
    <w:rsid w:val="4EFFC910"/>
    <w:rsid w:val="4F1C6D7D"/>
    <w:rsid w:val="4FB6906E"/>
    <w:rsid w:val="4FDD12FA"/>
    <w:rsid w:val="4FDDB05E"/>
    <w:rsid w:val="4FED60F8"/>
    <w:rsid w:val="507902C7"/>
    <w:rsid w:val="51EB8F39"/>
    <w:rsid w:val="52DD3231"/>
    <w:rsid w:val="53187BFF"/>
    <w:rsid w:val="535D7144"/>
    <w:rsid w:val="536B7908"/>
    <w:rsid w:val="53FF5207"/>
    <w:rsid w:val="5497D350"/>
    <w:rsid w:val="557FD0DB"/>
    <w:rsid w:val="569B13A3"/>
    <w:rsid w:val="56E737E3"/>
    <w:rsid w:val="573EEF0D"/>
    <w:rsid w:val="576F533F"/>
    <w:rsid w:val="5797504E"/>
    <w:rsid w:val="57E438B1"/>
    <w:rsid w:val="57E54E2F"/>
    <w:rsid w:val="57F325A8"/>
    <w:rsid w:val="57FB8529"/>
    <w:rsid w:val="58C6CE97"/>
    <w:rsid w:val="58FFF378"/>
    <w:rsid w:val="59F18925"/>
    <w:rsid w:val="59FC342B"/>
    <w:rsid w:val="5A57DADE"/>
    <w:rsid w:val="5A6F15B9"/>
    <w:rsid w:val="5A9D0657"/>
    <w:rsid w:val="5B7B54AD"/>
    <w:rsid w:val="5B7FB81B"/>
    <w:rsid w:val="5BDABA0E"/>
    <w:rsid w:val="5BEEAC70"/>
    <w:rsid w:val="5BFE6CED"/>
    <w:rsid w:val="5C1A635C"/>
    <w:rsid w:val="5D0F0F62"/>
    <w:rsid w:val="5DADE724"/>
    <w:rsid w:val="5DBFB777"/>
    <w:rsid w:val="5DCF024E"/>
    <w:rsid w:val="5DFBB53B"/>
    <w:rsid w:val="5E166BB9"/>
    <w:rsid w:val="5F5DC3BA"/>
    <w:rsid w:val="5F7DD321"/>
    <w:rsid w:val="5F969ACA"/>
    <w:rsid w:val="5FAF4CD4"/>
    <w:rsid w:val="5FB7F5EA"/>
    <w:rsid w:val="5FBDF74D"/>
    <w:rsid w:val="5FBED4D5"/>
    <w:rsid w:val="5FC87092"/>
    <w:rsid w:val="5FE43C32"/>
    <w:rsid w:val="5FEFC109"/>
    <w:rsid w:val="5FF180BA"/>
    <w:rsid w:val="5FF50EC6"/>
    <w:rsid w:val="5FF5B15F"/>
    <w:rsid w:val="5FF62A9E"/>
    <w:rsid w:val="5FF721A5"/>
    <w:rsid w:val="5FF94218"/>
    <w:rsid w:val="63F5A7AC"/>
    <w:rsid w:val="64AC017A"/>
    <w:rsid w:val="64BFF4C3"/>
    <w:rsid w:val="64DF77BA"/>
    <w:rsid w:val="65151FA7"/>
    <w:rsid w:val="657FB08A"/>
    <w:rsid w:val="66762837"/>
    <w:rsid w:val="66DE02FC"/>
    <w:rsid w:val="66F14706"/>
    <w:rsid w:val="66FDA5B4"/>
    <w:rsid w:val="66FF3914"/>
    <w:rsid w:val="67C930C2"/>
    <w:rsid w:val="67EFDACA"/>
    <w:rsid w:val="67FFE98A"/>
    <w:rsid w:val="67FFF6A2"/>
    <w:rsid w:val="6906134A"/>
    <w:rsid w:val="697BFABC"/>
    <w:rsid w:val="6A6DB937"/>
    <w:rsid w:val="6AFF4F9D"/>
    <w:rsid w:val="6B23441D"/>
    <w:rsid w:val="6B7C9580"/>
    <w:rsid w:val="6BAD144F"/>
    <w:rsid w:val="6BB0D2EE"/>
    <w:rsid w:val="6BB7EF91"/>
    <w:rsid w:val="6BF6A6F0"/>
    <w:rsid w:val="6BF75A83"/>
    <w:rsid w:val="6BFBB129"/>
    <w:rsid w:val="6CFFDF26"/>
    <w:rsid w:val="6D731C49"/>
    <w:rsid w:val="6DA8249E"/>
    <w:rsid w:val="6DAF1973"/>
    <w:rsid w:val="6DBB08AE"/>
    <w:rsid w:val="6DFBD1F4"/>
    <w:rsid w:val="6DFFB546"/>
    <w:rsid w:val="6DFFF1B8"/>
    <w:rsid w:val="6E3D4488"/>
    <w:rsid w:val="6E5D91DD"/>
    <w:rsid w:val="6E7ED2AD"/>
    <w:rsid w:val="6E9DFFF4"/>
    <w:rsid w:val="6EDE1B0E"/>
    <w:rsid w:val="6F3E01F8"/>
    <w:rsid w:val="6F5F435E"/>
    <w:rsid w:val="6F7350AC"/>
    <w:rsid w:val="6F7FC60C"/>
    <w:rsid w:val="6F9A6DDE"/>
    <w:rsid w:val="6FB6AF52"/>
    <w:rsid w:val="6FBBB983"/>
    <w:rsid w:val="6FBC7846"/>
    <w:rsid w:val="6FEE7BCD"/>
    <w:rsid w:val="6FEE84D3"/>
    <w:rsid w:val="6FFB0372"/>
    <w:rsid w:val="6FFF1C94"/>
    <w:rsid w:val="6FFF2047"/>
    <w:rsid w:val="6FFF247F"/>
    <w:rsid w:val="6FFFD122"/>
    <w:rsid w:val="71B678CA"/>
    <w:rsid w:val="71BFD2A1"/>
    <w:rsid w:val="726D62EF"/>
    <w:rsid w:val="72F3111E"/>
    <w:rsid w:val="72FFAB19"/>
    <w:rsid w:val="73236331"/>
    <w:rsid w:val="734E8834"/>
    <w:rsid w:val="73730625"/>
    <w:rsid w:val="73D39119"/>
    <w:rsid w:val="73DFB7C1"/>
    <w:rsid w:val="73EF3FF3"/>
    <w:rsid w:val="73F1D074"/>
    <w:rsid w:val="73FF64F6"/>
    <w:rsid w:val="74DB9F4B"/>
    <w:rsid w:val="74DFD23E"/>
    <w:rsid w:val="75DD8C3A"/>
    <w:rsid w:val="75FFB480"/>
    <w:rsid w:val="75FFD505"/>
    <w:rsid w:val="761710F5"/>
    <w:rsid w:val="767D612A"/>
    <w:rsid w:val="767FC73C"/>
    <w:rsid w:val="76BFEF37"/>
    <w:rsid w:val="76FE5A9E"/>
    <w:rsid w:val="77633A7D"/>
    <w:rsid w:val="77676316"/>
    <w:rsid w:val="77732269"/>
    <w:rsid w:val="77756C7C"/>
    <w:rsid w:val="777BE9C8"/>
    <w:rsid w:val="777F3239"/>
    <w:rsid w:val="779D0210"/>
    <w:rsid w:val="779FDDAF"/>
    <w:rsid w:val="77ABC44F"/>
    <w:rsid w:val="77BF58FB"/>
    <w:rsid w:val="77BFB461"/>
    <w:rsid w:val="77DFF5F2"/>
    <w:rsid w:val="77EDD198"/>
    <w:rsid w:val="77EDD9BA"/>
    <w:rsid w:val="77F7CB55"/>
    <w:rsid w:val="77FBEE85"/>
    <w:rsid w:val="77FD94A5"/>
    <w:rsid w:val="77FFE76F"/>
    <w:rsid w:val="78FA0CA3"/>
    <w:rsid w:val="790608BE"/>
    <w:rsid w:val="79AFD04F"/>
    <w:rsid w:val="79DD0640"/>
    <w:rsid w:val="79F70E82"/>
    <w:rsid w:val="79F79AB1"/>
    <w:rsid w:val="79FD8E8B"/>
    <w:rsid w:val="7A731B63"/>
    <w:rsid w:val="7AE17AED"/>
    <w:rsid w:val="7AE6B59C"/>
    <w:rsid w:val="7AED56A7"/>
    <w:rsid w:val="7AEF750F"/>
    <w:rsid w:val="7AEFDABB"/>
    <w:rsid w:val="7B34E0D6"/>
    <w:rsid w:val="7B724788"/>
    <w:rsid w:val="7BB52FA2"/>
    <w:rsid w:val="7BB57F4D"/>
    <w:rsid w:val="7BBB86F9"/>
    <w:rsid w:val="7BCFCFE3"/>
    <w:rsid w:val="7BD6D8FF"/>
    <w:rsid w:val="7BDFEBC7"/>
    <w:rsid w:val="7BEF377D"/>
    <w:rsid w:val="7BEF9AC6"/>
    <w:rsid w:val="7BF44727"/>
    <w:rsid w:val="7BFDB40B"/>
    <w:rsid w:val="7BFE9EA5"/>
    <w:rsid w:val="7C6B8882"/>
    <w:rsid w:val="7C7BF459"/>
    <w:rsid w:val="7C7FC1CF"/>
    <w:rsid w:val="7C7FDA5E"/>
    <w:rsid w:val="7C9C7309"/>
    <w:rsid w:val="7CBE047B"/>
    <w:rsid w:val="7CBE9556"/>
    <w:rsid w:val="7CCFD7ED"/>
    <w:rsid w:val="7CD7815D"/>
    <w:rsid w:val="7D177CC4"/>
    <w:rsid w:val="7D7EEFB0"/>
    <w:rsid w:val="7DA4C8A9"/>
    <w:rsid w:val="7DB10D77"/>
    <w:rsid w:val="7DBF82B0"/>
    <w:rsid w:val="7DDB2570"/>
    <w:rsid w:val="7DDF8675"/>
    <w:rsid w:val="7DE56A14"/>
    <w:rsid w:val="7DEF3C5A"/>
    <w:rsid w:val="7DEF5B93"/>
    <w:rsid w:val="7DFD63BA"/>
    <w:rsid w:val="7DFE412B"/>
    <w:rsid w:val="7DFE8872"/>
    <w:rsid w:val="7DFEC8B1"/>
    <w:rsid w:val="7DFFDF69"/>
    <w:rsid w:val="7E2BB2BA"/>
    <w:rsid w:val="7E4F078F"/>
    <w:rsid w:val="7E9FCB6D"/>
    <w:rsid w:val="7EA193DC"/>
    <w:rsid w:val="7EAF393F"/>
    <w:rsid w:val="7EB336B0"/>
    <w:rsid w:val="7EB5F8C1"/>
    <w:rsid w:val="7EBF1A09"/>
    <w:rsid w:val="7EDEE91D"/>
    <w:rsid w:val="7EDF140C"/>
    <w:rsid w:val="7EE03513"/>
    <w:rsid w:val="7EFCA94E"/>
    <w:rsid w:val="7EFDFACE"/>
    <w:rsid w:val="7EFDFC67"/>
    <w:rsid w:val="7EFEA002"/>
    <w:rsid w:val="7EFED11E"/>
    <w:rsid w:val="7EFFC074"/>
    <w:rsid w:val="7F17E72D"/>
    <w:rsid w:val="7F24FF61"/>
    <w:rsid w:val="7F337986"/>
    <w:rsid w:val="7F3B2BE3"/>
    <w:rsid w:val="7F5ADD07"/>
    <w:rsid w:val="7F5F69E9"/>
    <w:rsid w:val="7F5FCE41"/>
    <w:rsid w:val="7F6B9F1A"/>
    <w:rsid w:val="7F733D5F"/>
    <w:rsid w:val="7F75D56F"/>
    <w:rsid w:val="7F7C5D70"/>
    <w:rsid w:val="7F7F0E75"/>
    <w:rsid w:val="7F8DE166"/>
    <w:rsid w:val="7F97DC34"/>
    <w:rsid w:val="7FABDD4A"/>
    <w:rsid w:val="7FAFEF1D"/>
    <w:rsid w:val="7FB7112C"/>
    <w:rsid w:val="7FB88D1D"/>
    <w:rsid w:val="7FBEFDF7"/>
    <w:rsid w:val="7FBFA72B"/>
    <w:rsid w:val="7FBFC7E6"/>
    <w:rsid w:val="7FD658CD"/>
    <w:rsid w:val="7FDBBB40"/>
    <w:rsid w:val="7FDE6951"/>
    <w:rsid w:val="7FDE862B"/>
    <w:rsid w:val="7FDF8326"/>
    <w:rsid w:val="7FE631EF"/>
    <w:rsid w:val="7FEB8907"/>
    <w:rsid w:val="7FEBBAD3"/>
    <w:rsid w:val="7FEBFD53"/>
    <w:rsid w:val="7FEE2F4D"/>
    <w:rsid w:val="7FEF65B0"/>
    <w:rsid w:val="7FEFB930"/>
    <w:rsid w:val="7FF44648"/>
    <w:rsid w:val="7FF47F21"/>
    <w:rsid w:val="7FF7442E"/>
    <w:rsid w:val="7FF76733"/>
    <w:rsid w:val="7FF7D423"/>
    <w:rsid w:val="7FFA81BB"/>
    <w:rsid w:val="7FFB887D"/>
    <w:rsid w:val="7FFBA5B6"/>
    <w:rsid w:val="7FFBB41B"/>
    <w:rsid w:val="7FFBD0BC"/>
    <w:rsid w:val="7FFC2B5B"/>
    <w:rsid w:val="7FFCF118"/>
    <w:rsid w:val="7FFD591B"/>
    <w:rsid w:val="7FFF42E9"/>
    <w:rsid w:val="7FFFD1B7"/>
    <w:rsid w:val="7FFFDEEE"/>
    <w:rsid w:val="83FF1CC0"/>
    <w:rsid w:val="86EF2D18"/>
    <w:rsid w:val="8BFE8004"/>
    <w:rsid w:val="8ED63C19"/>
    <w:rsid w:val="8EFB8DEC"/>
    <w:rsid w:val="8EFD5F2D"/>
    <w:rsid w:val="8F6D9201"/>
    <w:rsid w:val="8FFF89B4"/>
    <w:rsid w:val="919FC468"/>
    <w:rsid w:val="93B79C03"/>
    <w:rsid w:val="94FAAFDC"/>
    <w:rsid w:val="95F96652"/>
    <w:rsid w:val="96BBFBED"/>
    <w:rsid w:val="975901B7"/>
    <w:rsid w:val="97DEF304"/>
    <w:rsid w:val="99FE9E92"/>
    <w:rsid w:val="9AEF3294"/>
    <w:rsid w:val="9BBED4EF"/>
    <w:rsid w:val="9CDFD0A3"/>
    <w:rsid w:val="9CFF7A04"/>
    <w:rsid w:val="9D678B51"/>
    <w:rsid w:val="9DDA1E00"/>
    <w:rsid w:val="9DEFF8E9"/>
    <w:rsid w:val="9EBAC5A8"/>
    <w:rsid w:val="9FEB153E"/>
    <w:rsid w:val="9FF11A0A"/>
    <w:rsid w:val="9FF392E7"/>
    <w:rsid w:val="A3FEB3F9"/>
    <w:rsid w:val="A7BB0F84"/>
    <w:rsid w:val="A7BF1A1A"/>
    <w:rsid w:val="A7C79DB4"/>
    <w:rsid w:val="A7FE595C"/>
    <w:rsid w:val="AB7F19EF"/>
    <w:rsid w:val="AD78C367"/>
    <w:rsid w:val="AD8E6A57"/>
    <w:rsid w:val="ADDFDD21"/>
    <w:rsid w:val="ADFEF0C7"/>
    <w:rsid w:val="AEF5BE60"/>
    <w:rsid w:val="AF7FF3F2"/>
    <w:rsid w:val="AFBE3624"/>
    <w:rsid w:val="AFEA0602"/>
    <w:rsid w:val="AFF5A158"/>
    <w:rsid w:val="AFFFBABC"/>
    <w:rsid w:val="B2FD64FF"/>
    <w:rsid w:val="B4FD730E"/>
    <w:rsid w:val="B57F49ED"/>
    <w:rsid w:val="B5E719BC"/>
    <w:rsid w:val="B65F0F6C"/>
    <w:rsid w:val="B6BFF5F8"/>
    <w:rsid w:val="B6ED21CF"/>
    <w:rsid w:val="B6F7CFA6"/>
    <w:rsid w:val="B6FFE899"/>
    <w:rsid w:val="B77EFE8C"/>
    <w:rsid w:val="B77F4822"/>
    <w:rsid w:val="B77FBF00"/>
    <w:rsid w:val="B7976AAD"/>
    <w:rsid w:val="B79F2DDB"/>
    <w:rsid w:val="B7BEFD58"/>
    <w:rsid w:val="B7C3424C"/>
    <w:rsid w:val="B7CF10AC"/>
    <w:rsid w:val="B7ECE0D8"/>
    <w:rsid w:val="B7FEBB4C"/>
    <w:rsid w:val="B7FF4923"/>
    <w:rsid w:val="B86D6E2A"/>
    <w:rsid w:val="B9EB346F"/>
    <w:rsid w:val="B9ED3256"/>
    <w:rsid w:val="B9ED52A4"/>
    <w:rsid w:val="BA6F50C0"/>
    <w:rsid w:val="BA7F1982"/>
    <w:rsid w:val="BA937794"/>
    <w:rsid w:val="BAACBCA0"/>
    <w:rsid w:val="BACEA575"/>
    <w:rsid w:val="BB274C56"/>
    <w:rsid w:val="BB5F2307"/>
    <w:rsid w:val="BB7EAC57"/>
    <w:rsid w:val="BB8F631B"/>
    <w:rsid w:val="BBFEEBCC"/>
    <w:rsid w:val="BBFF4078"/>
    <w:rsid w:val="BBFFC7CE"/>
    <w:rsid w:val="BBFFF75F"/>
    <w:rsid w:val="BC6FE663"/>
    <w:rsid w:val="BCBFD613"/>
    <w:rsid w:val="BCFE2BA6"/>
    <w:rsid w:val="BD1E9B92"/>
    <w:rsid w:val="BD7F4BAA"/>
    <w:rsid w:val="BD7F83B8"/>
    <w:rsid w:val="BDCFF9DF"/>
    <w:rsid w:val="BDD628FB"/>
    <w:rsid w:val="BDDDB084"/>
    <w:rsid w:val="BDDF44B0"/>
    <w:rsid w:val="BDE389A9"/>
    <w:rsid w:val="BDFD992A"/>
    <w:rsid w:val="BDFF7146"/>
    <w:rsid w:val="BE7D8E04"/>
    <w:rsid w:val="BEADE749"/>
    <w:rsid w:val="BEB961A1"/>
    <w:rsid w:val="BED390C2"/>
    <w:rsid w:val="BEDB4694"/>
    <w:rsid w:val="BEEC837D"/>
    <w:rsid w:val="BF576023"/>
    <w:rsid w:val="BF5F2553"/>
    <w:rsid w:val="BF7D0155"/>
    <w:rsid w:val="BF7EBE4D"/>
    <w:rsid w:val="BF7F12CA"/>
    <w:rsid w:val="BF7FB7CF"/>
    <w:rsid w:val="BF910F65"/>
    <w:rsid w:val="BFA3A4C5"/>
    <w:rsid w:val="BFA66F6A"/>
    <w:rsid w:val="BFBF536B"/>
    <w:rsid w:val="BFC7D1FA"/>
    <w:rsid w:val="BFFBCCF3"/>
    <w:rsid w:val="BFFC940C"/>
    <w:rsid w:val="BFFF1301"/>
    <w:rsid w:val="BFFFB4AC"/>
    <w:rsid w:val="C5DB61AC"/>
    <w:rsid w:val="C5E3ABA8"/>
    <w:rsid w:val="C5F80B6E"/>
    <w:rsid w:val="C7FB5325"/>
    <w:rsid w:val="C9DF3E6E"/>
    <w:rsid w:val="CA5B4E78"/>
    <w:rsid w:val="CAFF4115"/>
    <w:rsid w:val="CBE5BC14"/>
    <w:rsid w:val="CBF98005"/>
    <w:rsid w:val="CE5F70F4"/>
    <w:rsid w:val="CF5E335F"/>
    <w:rsid w:val="CFED6284"/>
    <w:rsid w:val="CFF3C340"/>
    <w:rsid w:val="CFFBC857"/>
    <w:rsid w:val="D2DBE6AE"/>
    <w:rsid w:val="D36F2CE1"/>
    <w:rsid w:val="D3BFC857"/>
    <w:rsid w:val="D5FE51C1"/>
    <w:rsid w:val="D67D7640"/>
    <w:rsid w:val="D6DE46C7"/>
    <w:rsid w:val="D6FD36F4"/>
    <w:rsid w:val="D77D1AE4"/>
    <w:rsid w:val="D78F42B2"/>
    <w:rsid w:val="D7EFA58D"/>
    <w:rsid w:val="D7F727C0"/>
    <w:rsid w:val="D7FFFDC6"/>
    <w:rsid w:val="D83F24E3"/>
    <w:rsid w:val="D873BE03"/>
    <w:rsid w:val="D90FD216"/>
    <w:rsid w:val="D9D38B04"/>
    <w:rsid w:val="DAF591F6"/>
    <w:rsid w:val="DAFBD40D"/>
    <w:rsid w:val="DAFDC0DB"/>
    <w:rsid w:val="DB3C2DB1"/>
    <w:rsid w:val="DB7A3BBB"/>
    <w:rsid w:val="DB7D30FA"/>
    <w:rsid w:val="DBF84194"/>
    <w:rsid w:val="DBF92BB1"/>
    <w:rsid w:val="DC7B8FDB"/>
    <w:rsid w:val="DCDC7A75"/>
    <w:rsid w:val="DCEFEE0A"/>
    <w:rsid w:val="DCFF1A07"/>
    <w:rsid w:val="DCFF1A93"/>
    <w:rsid w:val="DDDE9244"/>
    <w:rsid w:val="DDFD49F1"/>
    <w:rsid w:val="DDFF693F"/>
    <w:rsid w:val="DEC55AE9"/>
    <w:rsid w:val="DF77B25C"/>
    <w:rsid w:val="DF791101"/>
    <w:rsid w:val="DF7F665E"/>
    <w:rsid w:val="DF9ED33B"/>
    <w:rsid w:val="DF9F7CA7"/>
    <w:rsid w:val="DFAA04CE"/>
    <w:rsid w:val="DFBDF51B"/>
    <w:rsid w:val="DFDD77CF"/>
    <w:rsid w:val="DFEB1551"/>
    <w:rsid w:val="DFEDFF21"/>
    <w:rsid w:val="DFEE1DF9"/>
    <w:rsid w:val="DFEE2B93"/>
    <w:rsid w:val="DFF9326E"/>
    <w:rsid w:val="DFFBD4B4"/>
    <w:rsid w:val="DFFC5458"/>
    <w:rsid w:val="DFFD5A2A"/>
    <w:rsid w:val="E2BF6274"/>
    <w:rsid w:val="E2FFA3E6"/>
    <w:rsid w:val="E5B640E9"/>
    <w:rsid w:val="E66F6507"/>
    <w:rsid w:val="E74C133E"/>
    <w:rsid w:val="E79FC23B"/>
    <w:rsid w:val="E7DFC9CD"/>
    <w:rsid w:val="E7FAD5AA"/>
    <w:rsid w:val="E9DDDB21"/>
    <w:rsid w:val="EA77D806"/>
    <w:rsid w:val="EAD4F08D"/>
    <w:rsid w:val="EAEDDC18"/>
    <w:rsid w:val="EB1C1187"/>
    <w:rsid w:val="EB6B6037"/>
    <w:rsid w:val="EB7E61DF"/>
    <w:rsid w:val="EBBE8131"/>
    <w:rsid w:val="EBE5CAD9"/>
    <w:rsid w:val="EBEDA546"/>
    <w:rsid w:val="EBF61DAE"/>
    <w:rsid w:val="ECBFEF8F"/>
    <w:rsid w:val="ECEFCBD8"/>
    <w:rsid w:val="ECF7920E"/>
    <w:rsid w:val="ECF951B3"/>
    <w:rsid w:val="ED7243EA"/>
    <w:rsid w:val="EDCF9417"/>
    <w:rsid w:val="EDDF02E0"/>
    <w:rsid w:val="EDE63347"/>
    <w:rsid w:val="EDEBEEF6"/>
    <w:rsid w:val="EDEFC74A"/>
    <w:rsid w:val="EDF95BB0"/>
    <w:rsid w:val="EE9FAA02"/>
    <w:rsid w:val="EEB7FA38"/>
    <w:rsid w:val="EEDB4D72"/>
    <w:rsid w:val="EEEF068A"/>
    <w:rsid w:val="EEFFAFFC"/>
    <w:rsid w:val="EF7C3B8E"/>
    <w:rsid w:val="EF7F4B4A"/>
    <w:rsid w:val="EFA55EFF"/>
    <w:rsid w:val="EFAF5C5C"/>
    <w:rsid w:val="EFDAA5C6"/>
    <w:rsid w:val="EFE2E95B"/>
    <w:rsid w:val="EFEA153F"/>
    <w:rsid w:val="EFEDAA45"/>
    <w:rsid w:val="EFFE027A"/>
    <w:rsid w:val="EFFF120E"/>
    <w:rsid w:val="EFFF2BD2"/>
    <w:rsid w:val="EFFF9E5D"/>
    <w:rsid w:val="F0FE5FF1"/>
    <w:rsid w:val="F1CB18F2"/>
    <w:rsid w:val="F1EB27BC"/>
    <w:rsid w:val="F3B99633"/>
    <w:rsid w:val="F3EAD192"/>
    <w:rsid w:val="F3EFA6AC"/>
    <w:rsid w:val="F3F35760"/>
    <w:rsid w:val="F3F666DE"/>
    <w:rsid w:val="F3F731C2"/>
    <w:rsid w:val="F3FBBF1B"/>
    <w:rsid w:val="F3FE8C25"/>
    <w:rsid w:val="F3FF2B6C"/>
    <w:rsid w:val="F3FF9BA3"/>
    <w:rsid w:val="F4ED295E"/>
    <w:rsid w:val="F4FD0BDD"/>
    <w:rsid w:val="F5758759"/>
    <w:rsid w:val="F5BC31F1"/>
    <w:rsid w:val="F5BCBF08"/>
    <w:rsid w:val="F5E0A5C2"/>
    <w:rsid w:val="F5F7DE06"/>
    <w:rsid w:val="F67B7658"/>
    <w:rsid w:val="F6BAF992"/>
    <w:rsid w:val="F6BFF16B"/>
    <w:rsid w:val="F6D79926"/>
    <w:rsid w:val="F6E76C21"/>
    <w:rsid w:val="F6F78EA8"/>
    <w:rsid w:val="F6F7EF9A"/>
    <w:rsid w:val="F6FFCF74"/>
    <w:rsid w:val="F73C5C0E"/>
    <w:rsid w:val="F777A38D"/>
    <w:rsid w:val="F783AB69"/>
    <w:rsid w:val="F78FE456"/>
    <w:rsid w:val="F7BBA494"/>
    <w:rsid w:val="F7BF4DAE"/>
    <w:rsid w:val="F7CFA1F3"/>
    <w:rsid w:val="F7E80E2D"/>
    <w:rsid w:val="F7FBDB16"/>
    <w:rsid w:val="F7FD9D3C"/>
    <w:rsid w:val="F7FF45A9"/>
    <w:rsid w:val="F7FF52D6"/>
    <w:rsid w:val="F7FFFD7B"/>
    <w:rsid w:val="F8B7AF47"/>
    <w:rsid w:val="F8FC156D"/>
    <w:rsid w:val="F9751046"/>
    <w:rsid w:val="F9BF0C51"/>
    <w:rsid w:val="F9C704E6"/>
    <w:rsid w:val="F9E96183"/>
    <w:rsid w:val="F9F7F225"/>
    <w:rsid w:val="FA7732B0"/>
    <w:rsid w:val="FA99A9AE"/>
    <w:rsid w:val="FAC45FD0"/>
    <w:rsid w:val="FACFA242"/>
    <w:rsid w:val="FADFD9B8"/>
    <w:rsid w:val="FAFF1605"/>
    <w:rsid w:val="FB3F7D7A"/>
    <w:rsid w:val="FB578EB7"/>
    <w:rsid w:val="FB736FBF"/>
    <w:rsid w:val="FB7C95F4"/>
    <w:rsid w:val="FB7FC7D5"/>
    <w:rsid w:val="FBACBEA3"/>
    <w:rsid w:val="FBAD0A24"/>
    <w:rsid w:val="FBB82FFE"/>
    <w:rsid w:val="FBBFD9F2"/>
    <w:rsid w:val="FBEF0BE8"/>
    <w:rsid w:val="FBFB2A99"/>
    <w:rsid w:val="FBFD3BC0"/>
    <w:rsid w:val="FBFD956B"/>
    <w:rsid w:val="FBFF2708"/>
    <w:rsid w:val="FBFF3183"/>
    <w:rsid w:val="FBFF89FA"/>
    <w:rsid w:val="FC7E9B29"/>
    <w:rsid w:val="FCAE2E39"/>
    <w:rsid w:val="FCDA3218"/>
    <w:rsid w:val="FCFD7243"/>
    <w:rsid w:val="FD3B3F5C"/>
    <w:rsid w:val="FD3FBB41"/>
    <w:rsid w:val="FD5E39DF"/>
    <w:rsid w:val="FD692DB4"/>
    <w:rsid w:val="FD6A0AEB"/>
    <w:rsid w:val="FD747EC2"/>
    <w:rsid w:val="FD772DE8"/>
    <w:rsid w:val="FD7D251C"/>
    <w:rsid w:val="FD7F43EE"/>
    <w:rsid w:val="FD7F6105"/>
    <w:rsid w:val="FDAF812E"/>
    <w:rsid w:val="FDAFAAC2"/>
    <w:rsid w:val="FDB5A0FF"/>
    <w:rsid w:val="FDB74731"/>
    <w:rsid w:val="FDBF6770"/>
    <w:rsid w:val="FDD8CF9B"/>
    <w:rsid w:val="FDDB7DD3"/>
    <w:rsid w:val="FDEB16E3"/>
    <w:rsid w:val="FDF3170B"/>
    <w:rsid w:val="FDF368ED"/>
    <w:rsid w:val="FDF3D529"/>
    <w:rsid w:val="FDF73044"/>
    <w:rsid w:val="FDF94E39"/>
    <w:rsid w:val="FDFBE78D"/>
    <w:rsid w:val="FDFCF235"/>
    <w:rsid w:val="FDFE7BF3"/>
    <w:rsid w:val="FDFF2C89"/>
    <w:rsid w:val="FDFFECB9"/>
    <w:rsid w:val="FE4FB512"/>
    <w:rsid w:val="FE6BC673"/>
    <w:rsid w:val="FE6FD671"/>
    <w:rsid w:val="FE7E75D5"/>
    <w:rsid w:val="FE7EC892"/>
    <w:rsid w:val="FE8F2045"/>
    <w:rsid w:val="FE954CD2"/>
    <w:rsid w:val="FE9E78BC"/>
    <w:rsid w:val="FEBEB57C"/>
    <w:rsid w:val="FEBF00AF"/>
    <w:rsid w:val="FEEF4836"/>
    <w:rsid w:val="FEEF987A"/>
    <w:rsid w:val="FEEFFDCE"/>
    <w:rsid w:val="FEF2541F"/>
    <w:rsid w:val="FEF74679"/>
    <w:rsid w:val="FEF7BE12"/>
    <w:rsid w:val="FEFD3C24"/>
    <w:rsid w:val="FEFE36D3"/>
    <w:rsid w:val="FEFEAC81"/>
    <w:rsid w:val="FEFF11B5"/>
    <w:rsid w:val="FEFF3D02"/>
    <w:rsid w:val="FEFF4FA5"/>
    <w:rsid w:val="FF3D4861"/>
    <w:rsid w:val="FF3F7AA9"/>
    <w:rsid w:val="FF4D8591"/>
    <w:rsid w:val="FF7F246D"/>
    <w:rsid w:val="FF7F3B4A"/>
    <w:rsid w:val="FF83525B"/>
    <w:rsid w:val="FF8E9679"/>
    <w:rsid w:val="FF8FBE54"/>
    <w:rsid w:val="FF97CCC1"/>
    <w:rsid w:val="FF97D32F"/>
    <w:rsid w:val="FF9F7FF2"/>
    <w:rsid w:val="FFA6B017"/>
    <w:rsid w:val="FFA9DEE2"/>
    <w:rsid w:val="FFAFF170"/>
    <w:rsid w:val="FFB7EEA2"/>
    <w:rsid w:val="FFBC7C0F"/>
    <w:rsid w:val="FFBFFF19"/>
    <w:rsid w:val="FFCF6F33"/>
    <w:rsid w:val="FFD1C576"/>
    <w:rsid w:val="FFD5A58D"/>
    <w:rsid w:val="FFD718DF"/>
    <w:rsid w:val="FFDD60A8"/>
    <w:rsid w:val="FFDE012E"/>
    <w:rsid w:val="FFDE5DAA"/>
    <w:rsid w:val="FFE79CB2"/>
    <w:rsid w:val="FFE958EF"/>
    <w:rsid w:val="FFEF37D9"/>
    <w:rsid w:val="FFEFF6FD"/>
    <w:rsid w:val="FFF3A8E3"/>
    <w:rsid w:val="FFF3DCAD"/>
    <w:rsid w:val="FFF68682"/>
    <w:rsid w:val="FFF68C9D"/>
    <w:rsid w:val="FFF6D7F6"/>
    <w:rsid w:val="FFF709A7"/>
    <w:rsid w:val="FFF99A04"/>
    <w:rsid w:val="FFFA6932"/>
    <w:rsid w:val="FFFB1DE4"/>
    <w:rsid w:val="FFFB4913"/>
    <w:rsid w:val="FFFB5C9F"/>
    <w:rsid w:val="FFFE5FF4"/>
    <w:rsid w:val="FFFEEA4E"/>
    <w:rsid w:val="FFFF3653"/>
    <w:rsid w:val="FFFFF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unhideWhenUsed/>
    <w:qFormat/>
    <w:uiPriority w:val="99"/>
    <w:pPr>
      <w:jc w:val="left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Balloon Text"/>
    <w:basedOn w:val="1"/>
    <w:link w:val="18"/>
    <w:uiPriority w:val="0"/>
    <w:pPr>
      <w:spacing w:line="240" w:lineRule="auto"/>
    </w:pPr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4"/>
    <w:basedOn w:val="1"/>
    <w:next w:val="1"/>
    <w:qFormat/>
    <w:uiPriority w:val="0"/>
    <w:pPr>
      <w:ind w:left="1260" w:leftChars="600"/>
    </w:pPr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customStyle="1" w:styleId="1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8">
    <w:name w:val="批注框文本 Char"/>
    <w:basedOn w:val="15"/>
    <w:link w:val="8"/>
    <w:uiPriority w:val="0"/>
    <w:rPr>
      <w:rFonts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daohangxitong.com</Company>
  <Pages>26</Pages>
  <Words>745</Words>
  <Characters>4252</Characters>
  <Lines>35</Lines>
  <Paragraphs>9</Paragraphs>
  <TotalTime>3</TotalTime>
  <ScaleCrop>false</ScaleCrop>
  <LinksUpToDate>false</LinksUpToDate>
  <CharactersWithSpaces>4988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2020-01-10T02:24:00Z</dcterms:created>
  <dc:creator>青功</dc:creator>
  <cp:lastModifiedBy>叶子</cp:lastModifiedBy>
  <dcterms:modified xsi:type="dcterms:W3CDTF">2024-05-23T01:35:52Z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5C31F37CEA094D3DB22B0CEE6214AF40_12</vt:lpwstr>
  </property>
</Properties>
</file>